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7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9574A8" w:rsidTr="009574A8">
        <w:trPr>
          <w:trHeight w:val="425"/>
        </w:trPr>
        <w:tc>
          <w:tcPr>
            <w:tcW w:w="2268" w:type="dxa"/>
          </w:tcPr>
          <w:p w:rsidR="00933484" w:rsidRPr="009574A8" w:rsidRDefault="00933484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937" w:type="dxa"/>
          </w:tcPr>
          <w:p w:rsidR="00933484" w:rsidRPr="009574A8" w:rsidRDefault="004B715B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ФНС</w:t>
            </w:r>
            <w:r w:rsidR="00933484" w:rsidRPr="009574A8">
              <w:rPr>
                <w:rFonts w:cstheme="minorHAnsi"/>
                <w:sz w:val="24"/>
                <w:szCs w:val="24"/>
              </w:rPr>
              <w:t xml:space="preserve">. </w:t>
            </w:r>
            <w:r w:rsidR="00766075" w:rsidRPr="00766075">
              <w:rPr>
                <w:rFonts w:cstheme="minorHAnsi"/>
                <w:sz w:val="24"/>
                <w:szCs w:val="24"/>
              </w:rPr>
              <w:t>Сведения о снятии физического лица с учета в налоговых органах в связи со смертью, представляемых в банки, сообщившие информацию о счетах физического лица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ВС:</w:t>
            </w:r>
          </w:p>
        </w:tc>
        <w:tc>
          <w:tcPr>
            <w:tcW w:w="7937" w:type="dxa"/>
          </w:tcPr>
          <w:p w:rsidR="009574A8" w:rsidRPr="00766075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574A8">
              <w:rPr>
                <w:rFonts w:cstheme="minorHAnsi"/>
                <w:sz w:val="24"/>
                <w:szCs w:val="24"/>
              </w:rPr>
              <w:t>4.0.</w:t>
            </w:r>
            <w:r w:rsidR="00766075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:rsidR="009574A8" w:rsidRPr="00766075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574A8">
              <w:rPr>
                <w:rFonts w:cstheme="minorHAnsi"/>
                <w:sz w:val="24"/>
                <w:szCs w:val="24"/>
              </w:rPr>
              <w:t>1.</w:t>
            </w:r>
            <w:r w:rsidR="00FA60F9">
              <w:rPr>
                <w:rFonts w:cstheme="minorHAnsi"/>
                <w:sz w:val="24"/>
                <w:szCs w:val="24"/>
              </w:rPr>
              <w:t>1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A21963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6442410" w:history="1">
            <w:r w:rsidR="00A21963" w:rsidRPr="00677761">
              <w:rPr>
                <w:rStyle w:val="a6"/>
                <w:noProof/>
              </w:rPr>
              <w:t>1</w:t>
            </w:r>
            <w:r w:rsidR="00A21963">
              <w:rPr>
                <w:rFonts w:eastAsiaTheme="minorEastAsia"/>
                <w:noProof/>
                <w:lang w:eastAsia="ru-RU"/>
              </w:rPr>
              <w:tab/>
            </w:r>
            <w:r w:rsidR="00A21963" w:rsidRPr="00677761">
              <w:rPr>
                <w:rStyle w:val="a6"/>
                <w:noProof/>
              </w:rPr>
              <w:t>История изменений</w:t>
            </w:r>
            <w:r w:rsidR="00A21963">
              <w:rPr>
                <w:noProof/>
                <w:webHidden/>
              </w:rPr>
              <w:tab/>
            </w:r>
            <w:r w:rsidR="00A21963">
              <w:rPr>
                <w:noProof/>
                <w:webHidden/>
              </w:rPr>
              <w:fldChar w:fldCharType="begin"/>
            </w:r>
            <w:r w:rsidR="00A21963">
              <w:rPr>
                <w:noProof/>
                <w:webHidden/>
              </w:rPr>
              <w:instrText xml:space="preserve"> PAGEREF _Toc136442410 \h </w:instrText>
            </w:r>
            <w:r w:rsidR="00A21963">
              <w:rPr>
                <w:noProof/>
                <w:webHidden/>
              </w:rPr>
            </w:r>
            <w:r w:rsidR="00A21963">
              <w:rPr>
                <w:noProof/>
                <w:webHidden/>
              </w:rPr>
              <w:fldChar w:fldCharType="separate"/>
            </w:r>
            <w:r w:rsidR="00A21963">
              <w:rPr>
                <w:noProof/>
                <w:webHidden/>
              </w:rPr>
              <w:t>1</w:t>
            </w:r>
            <w:r w:rsidR="00A21963">
              <w:rPr>
                <w:noProof/>
                <w:webHidden/>
              </w:rPr>
              <w:fldChar w:fldCharType="end"/>
            </w:r>
          </w:hyperlink>
        </w:p>
        <w:p w:rsidR="00A21963" w:rsidRDefault="00AE427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36442411" w:history="1">
            <w:r w:rsidR="00A21963" w:rsidRPr="00677761">
              <w:rPr>
                <w:rStyle w:val="a6"/>
                <w:noProof/>
              </w:rPr>
              <w:t>2</w:t>
            </w:r>
            <w:r w:rsidR="00A21963">
              <w:rPr>
                <w:rFonts w:eastAsiaTheme="minorEastAsia"/>
                <w:noProof/>
                <w:lang w:eastAsia="ru-RU"/>
              </w:rPr>
              <w:tab/>
            </w:r>
            <w:r w:rsidR="00A21963" w:rsidRPr="00677761">
              <w:rPr>
                <w:rStyle w:val="a6"/>
                <w:noProof/>
              </w:rPr>
              <w:t>Термины и сокращения</w:t>
            </w:r>
            <w:r w:rsidR="00A21963">
              <w:rPr>
                <w:noProof/>
                <w:webHidden/>
              </w:rPr>
              <w:tab/>
            </w:r>
            <w:r w:rsidR="00A21963">
              <w:rPr>
                <w:noProof/>
                <w:webHidden/>
              </w:rPr>
              <w:fldChar w:fldCharType="begin"/>
            </w:r>
            <w:r w:rsidR="00A21963">
              <w:rPr>
                <w:noProof/>
                <w:webHidden/>
              </w:rPr>
              <w:instrText xml:space="preserve"> PAGEREF _Toc136442411 \h </w:instrText>
            </w:r>
            <w:r w:rsidR="00A21963">
              <w:rPr>
                <w:noProof/>
                <w:webHidden/>
              </w:rPr>
            </w:r>
            <w:r w:rsidR="00A21963">
              <w:rPr>
                <w:noProof/>
                <w:webHidden/>
              </w:rPr>
              <w:fldChar w:fldCharType="separate"/>
            </w:r>
            <w:r w:rsidR="00A21963">
              <w:rPr>
                <w:noProof/>
                <w:webHidden/>
              </w:rPr>
              <w:t>1</w:t>
            </w:r>
            <w:r w:rsidR="00A21963">
              <w:rPr>
                <w:noProof/>
                <w:webHidden/>
              </w:rPr>
              <w:fldChar w:fldCharType="end"/>
            </w:r>
          </w:hyperlink>
        </w:p>
        <w:p w:rsidR="00A21963" w:rsidRDefault="00AE427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36442412" w:history="1">
            <w:r w:rsidR="00A21963" w:rsidRPr="00677761">
              <w:rPr>
                <w:rStyle w:val="a6"/>
                <w:noProof/>
              </w:rPr>
              <w:t>3</w:t>
            </w:r>
            <w:r w:rsidR="00A21963">
              <w:rPr>
                <w:rFonts w:eastAsiaTheme="minorEastAsia"/>
                <w:noProof/>
                <w:lang w:eastAsia="ru-RU"/>
              </w:rPr>
              <w:tab/>
            </w:r>
            <w:r w:rsidR="00A21963" w:rsidRPr="00677761">
              <w:rPr>
                <w:rStyle w:val="a6"/>
                <w:noProof/>
              </w:rPr>
              <w:t>Назначение адаптера</w:t>
            </w:r>
            <w:r w:rsidR="00A21963">
              <w:rPr>
                <w:noProof/>
                <w:webHidden/>
              </w:rPr>
              <w:tab/>
            </w:r>
            <w:r w:rsidR="00A21963">
              <w:rPr>
                <w:noProof/>
                <w:webHidden/>
              </w:rPr>
              <w:fldChar w:fldCharType="begin"/>
            </w:r>
            <w:r w:rsidR="00A21963">
              <w:rPr>
                <w:noProof/>
                <w:webHidden/>
              </w:rPr>
              <w:instrText xml:space="preserve"> PAGEREF _Toc136442412 \h </w:instrText>
            </w:r>
            <w:r w:rsidR="00A21963">
              <w:rPr>
                <w:noProof/>
                <w:webHidden/>
              </w:rPr>
            </w:r>
            <w:r w:rsidR="00A21963">
              <w:rPr>
                <w:noProof/>
                <w:webHidden/>
              </w:rPr>
              <w:fldChar w:fldCharType="separate"/>
            </w:r>
            <w:r w:rsidR="00A21963">
              <w:rPr>
                <w:noProof/>
                <w:webHidden/>
              </w:rPr>
              <w:t>2</w:t>
            </w:r>
            <w:r w:rsidR="00A21963">
              <w:rPr>
                <w:noProof/>
                <w:webHidden/>
              </w:rPr>
              <w:fldChar w:fldCharType="end"/>
            </w:r>
          </w:hyperlink>
        </w:p>
        <w:p w:rsidR="00A21963" w:rsidRDefault="00AE427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36442413" w:history="1">
            <w:r w:rsidR="00A21963" w:rsidRPr="00677761">
              <w:rPr>
                <w:rStyle w:val="a6"/>
                <w:noProof/>
              </w:rPr>
              <w:t>4</w:t>
            </w:r>
            <w:r w:rsidR="00A21963">
              <w:rPr>
                <w:rFonts w:eastAsiaTheme="minorEastAsia"/>
                <w:noProof/>
                <w:lang w:eastAsia="ru-RU"/>
              </w:rPr>
              <w:tab/>
            </w:r>
            <w:r w:rsidR="00A21963" w:rsidRPr="00677761">
              <w:rPr>
                <w:rStyle w:val="a6"/>
                <w:noProof/>
              </w:rPr>
              <w:t>Состав передаваемых бизнес-данных</w:t>
            </w:r>
            <w:r w:rsidR="00A21963">
              <w:rPr>
                <w:noProof/>
                <w:webHidden/>
              </w:rPr>
              <w:tab/>
            </w:r>
            <w:r w:rsidR="00A21963">
              <w:rPr>
                <w:noProof/>
                <w:webHidden/>
              </w:rPr>
              <w:fldChar w:fldCharType="begin"/>
            </w:r>
            <w:r w:rsidR="00A21963">
              <w:rPr>
                <w:noProof/>
                <w:webHidden/>
              </w:rPr>
              <w:instrText xml:space="preserve"> PAGEREF _Toc136442413 \h </w:instrText>
            </w:r>
            <w:r w:rsidR="00A21963">
              <w:rPr>
                <w:noProof/>
                <w:webHidden/>
              </w:rPr>
            </w:r>
            <w:r w:rsidR="00A21963">
              <w:rPr>
                <w:noProof/>
                <w:webHidden/>
              </w:rPr>
              <w:fldChar w:fldCharType="separate"/>
            </w:r>
            <w:r w:rsidR="00A21963">
              <w:rPr>
                <w:noProof/>
                <w:webHidden/>
              </w:rPr>
              <w:t>3</w:t>
            </w:r>
            <w:r w:rsidR="00A21963">
              <w:rPr>
                <w:noProof/>
                <w:webHidden/>
              </w:rPr>
              <w:fldChar w:fldCharType="end"/>
            </w:r>
          </w:hyperlink>
        </w:p>
        <w:p w:rsidR="00A21963" w:rsidRDefault="00AE4276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36442414" w:history="1">
            <w:r w:rsidR="00A21963" w:rsidRPr="00677761">
              <w:rPr>
                <w:rStyle w:val="a6"/>
                <w:noProof/>
              </w:rPr>
              <w:t>4.1</w:t>
            </w:r>
            <w:r w:rsidR="00A21963">
              <w:rPr>
                <w:rFonts w:eastAsiaTheme="minorEastAsia"/>
                <w:noProof/>
                <w:lang w:eastAsia="ru-RU"/>
              </w:rPr>
              <w:tab/>
            </w:r>
            <w:r w:rsidR="00A21963" w:rsidRPr="00677761">
              <w:rPr>
                <w:rStyle w:val="a6"/>
                <w:noProof/>
              </w:rPr>
              <w:t>Входящее сообщение</w:t>
            </w:r>
            <w:r w:rsidR="00A21963">
              <w:rPr>
                <w:noProof/>
                <w:webHidden/>
              </w:rPr>
              <w:tab/>
            </w:r>
            <w:r w:rsidR="00A21963">
              <w:rPr>
                <w:noProof/>
                <w:webHidden/>
              </w:rPr>
              <w:fldChar w:fldCharType="begin"/>
            </w:r>
            <w:r w:rsidR="00A21963">
              <w:rPr>
                <w:noProof/>
                <w:webHidden/>
              </w:rPr>
              <w:instrText xml:space="preserve"> PAGEREF _Toc136442414 \h </w:instrText>
            </w:r>
            <w:r w:rsidR="00A21963">
              <w:rPr>
                <w:noProof/>
                <w:webHidden/>
              </w:rPr>
            </w:r>
            <w:r w:rsidR="00A21963">
              <w:rPr>
                <w:noProof/>
                <w:webHidden/>
              </w:rPr>
              <w:fldChar w:fldCharType="separate"/>
            </w:r>
            <w:r w:rsidR="00A21963">
              <w:rPr>
                <w:noProof/>
                <w:webHidden/>
              </w:rPr>
              <w:t>4</w:t>
            </w:r>
            <w:r w:rsidR="00A21963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CD45C8" w:rsidRDefault="00CD45C8" w:rsidP="00CD45C8"/>
    <w:p w:rsidR="00BB5BD9" w:rsidRPr="00CA262A" w:rsidRDefault="00BB5BD9" w:rsidP="00BB5BD9">
      <w:pPr>
        <w:pStyle w:val="1"/>
      </w:pPr>
      <w:bookmarkStart w:id="2" w:name="_Toc118640358"/>
      <w:bookmarkStart w:id="3" w:name="_Toc136442410"/>
      <w:r w:rsidRPr="00CA262A">
        <w:t>История изменений</w:t>
      </w:r>
      <w:bookmarkEnd w:id="2"/>
      <w:bookmarkEnd w:id="3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BB5BD9" w:rsidTr="00DE3FE9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BB5BD9" w:rsidRPr="009D0C03" w:rsidRDefault="00BB5BD9" w:rsidP="00DE3FE9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9D0C03" w:rsidRDefault="00BB5BD9" w:rsidP="00DE3FE9">
            <w:pPr>
              <w:pStyle w:val="af1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BB5BD9" w:rsidTr="00902225">
        <w:tc>
          <w:tcPr>
            <w:tcW w:w="132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Pr="00766075" w:rsidRDefault="00766075" w:rsidP="00DE3FE9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A52A1">
              <w:t>4</w:t>
            </w:r>
            <w:r w:rsidR="00BB5BD9">
              <w:t>.</w:t>
            </w:r>
            <w:r>
              <w:rPr>
                <w:lang w:val="en-US"/>
              </w:rPr>
              <w:t>04</w:t>
            </w:r>
            <w:r w:rsidR="00BB5BD9">
              <w:t>.202</w:t>
            </w:r>
            <w:r>
              <w:rPr>
                <w:lang w:val="en-US"/>
              </w:rPr>
              <w:t>3</w:t>
            </w:r>
          </w:p>
        </w:tc>
        <w:tc>
          <w:tcPr>
            <w:tcW w:w="283" w:type="dxa"/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Pr="00A73D43" w:rsidRDefault="00BB5BD9" w:rsidP="00DE3FE9">
            <w:pPr>
              <w:spacing w:before="40" w:after="40"/>
              <w:rPr>
                <w:lang w:val="en-US"/>
              </w:rPr>
            </w:pPr>
            <w:r>
              <w:t>Первая версия.</w:t>
            </w:r>
          </w:p>
        </w:tc>
      </w:tr>
      <w:tr w:rsidR="00BB5BD9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FA60F9" w:rsidP="00DE3FE9">
            <w:pPr>
              <w:spacing w:before="40" w:after="40"/>
              <w:jc w:val="center"/>
            </w:pPr>
            <w:r>
              <w:t>1.1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FA60F9" w:rsidP="00DE3FE9">
            <w:pPr>
              <w:spacing w:before="40" w:after="40"/>
              <w:jc w:val="center"/>
            </w:pPr>
            <w:r>
              <w:t>26.05.2023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FA60F9" w:rsidP="00DE3FE9">
            <w:pPr>
              <w:spacing w:before="40" w:after="40"/>
            </w:pPr>
            <w:r>
              <w:t>Добавлена ссылка на пользовательский интерфейс.</w:t>
            </w:r>
          </w:p>
        </w:tc>
      </w:tr>
      <w:tr w:rsidR="00BB5BD9" w:rsidRPr="00CA262A" w:rsidTr="00902225">
        <w:tc>
          <w:tcPr>
            <w:tcW w:w="132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287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1415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689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</w:tr>
    </w:tbl>
    <w:p w:rsidR="00933484" w:rsidRPr="00B46D61" w:rsidRDefault="00933484" w:rsidP="00933484">
      <w:pPr>
        <w:pStyle w:val="1"/>
        <w:spacing w:after="120"/>
      </w:pPr>
      <w:bookmarkStart w:id="4" w:name="_Toc72936799"/>
      <w:bookmarkStart w:id="5" w:name="_Toc136442411"/>
      <w:bookmarkEnd w:id="1"/>
      <w:r>
        <w:t>Термины и сокращения</w:t>
      </w:r>
      <w:bookmarkEnd w:id="4"/>
      <w:bookmarkEnd w:id="5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0F32E4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766075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574A8">
              <w:rPr>
                <w:rFonts w:cstheme="minorHAnsi"/>
                <w:sz w:val="24"/>
                <w:szCs w:val="24"/>
              </w:rPr>
              <w:t xml:space="preserve">ФНС. </w:t>
            </w:r>
            <w:r w:rsidRPr="00766075">
              <w:rPr>
                <w:rFonts w:cstheme="minorHAnsi"/>
                <w:sz w:val="24"/>
                <w:szCs w:val="24"/>
              </w:rPr>
              <w:t>Сведения о снятии физического лица с учета в налоговых органах в связи со смертью, представляемых в банки, сообщившие информацию о счетах физического лица</w:t>
            </w:r>
            <w:r w:rsidR="00933484" w:rsidRPr="009218CA">
              <w:rPr>
                <w:rFonts w:ascii="Segoe UI" w:hAnsi="Segoe UI" w:cs="Segoe UI"/>
              </w:rPr>
              <w:t>.</w:t>
            </w:r>
          </w:p>
        </w:tc>
      </w:tr>
      <w:tr w:rsidR="00BB5BD9" w:rsidTr="000F32E4">
        <w:tc>
          <w:tcPr>
            <w:tcW w:w="2122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073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Информационная система клиента (банка или иной организации), являющаяся получателем сообщений.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29650C" w:rsidRDefault="0029650C" w:rsidP="0029650C">
      <w:bookmarkStart w:id="6" w:name="_Ref70011022"/>
    </w:p>
    <w:p w:rsidR="004727A6" w:rsidRPr="00B46D61" w:rsidRDefault="004727A6" w:rsidP="004727A6">
      <w:pPr>
        <w:pStyle w:val="1"/>
      </w:pPr>
      <w:bookmarkStart w:id="7" w:name="_Toc136442412"/>
      <w:r>
        <w:t>Назначение</w:t>
      </w:r>
      <w:r w:rsidRPr="00B46D61">
        <w:t xml:space="preserve"> </w:t>
      </w:r>
      <w:r>
        <w:t>адаптера</w:t>
      </w:r>
      <w:bookmarkEnd w:id="7"/>
    </w:p>
    <w:p w:rsidR="00F04FD0" w:rsidRPr="004727A6" w:rsidRDefault="00F04FD0" w:rsidP="00F04FD0">
      <w:pPr>
        <w:spacing w:before="80" w:after="40" w:line="250" w:lineRule="auto"/>
        <w:rPr>
          <w:rFonts w:ascii="Segoe UI" w:hAnsi="Segoe UI" w:cs="Segoe UI"/>
        </w:rPr>
      </w:pPr>
      <w:bookmarkStart w:id="8" w:name="_Hlk138427263"/>
      <w:r w:rsidRPr="004727A6">
        <w:rPr>
          <w:rFonts w:ascii="Segoe UI" w:hAnsi="Segoe UI" w:cs="Segoe UI"/>
        </w:rPr>
        <w:t xml:space="preserve">Адаптер </w:t>
      </w:r>
      <w:r>
        <w:rPr>
          <w:rFonts w:ascii="Segoe UI" w:hAnsi="Segoe UI" w:cs="Segoe UI"/>
        </w:rPr>
        <w:t>разработан с учетом</w:t>
      </w:r>
      <w:r w:rsidRPr="004727A6">
        <w:rPr>
          <w:rFonts w:ascii="Segoe UI" w:hAnsi="Segoe UI" w:cs="Segoe UI"/>
        </w:rPr>
        <w:t xml:space="preserve"> требовани</w:t>
      </w:r>
      <w:r>
        <w:rPr>
          <w:rFonts w:ascii="Segoe UI" w:hAnsi="Segoe UI" w:cs="Segoe UI"/>
        </w:rPr>
        <w:t>й</w:t>
      </w:r>
      <w:r w:rsidRPr="004727A6">
        <w:rPr>
          <w:rFonts w:ascii="Segoe UI" w:hAnsi="Segoe UI" w:cs="Segoe UI"/>
        </w:rPr>
        <w:t xml:space="preserve"> Федерального закона от 18 ноября 2022 г. N 438-ФЗ</w:t>
      </w:r>
      <w:r>
        <w:rPr>
          <w:rFonts w:ascii="Segoe UI" w:hAnsi="Segoe UI" w:cs="Segoe UI"/>
        </w:rPr>
        <w:t xml:space="preserve">, в </w:t>
      </w:r>
      <w:r w:rsidRPr="004727A6">
        <w:rPr>
          <w:rFonts w:ascii="Segoe UI" w:hAnsi="Segoe UI" w:cs="Segoe UI"/>
        </w:rPr>
        <w:t>соответствии с</w:t>
      </w:r>
      <w:r>
        <w:rPr>
          <w:rFonts w:ascii="Segoe UI" w:hAnsi="Segoe UI" w:cs="Segoe UI"/>
        </w:rPr>
        <w:t xml:space="preserve"> которым</w:t>
      </w:r>
      <w:r w:rsidRPr="004727A6">
        <w:rPr>
          <w:rFonts w:ascii="Segoe UI" w:hAnsi="Segoe UI" w:cs="Segoe UI"/>
        </w:rPr>
        <w:t>:</w:t>
      </w:r>
    </w:p>
    <w:p w:rsidR="00F04FD0" w:rsidRPr="004727A6" w:rsidRDefault="00F04FD0" w:rsidP="00F04FD0">
      <w:pPr>
        <w:pStyle w:val="a3"/>
        <w:numPr>
          <w:ilvl w:val="0"/>
          <w:numId w:val="12"/>
        </w:numPr>
        <w:spacing w:before="40" w:after="40" w:line="250" w:lineRule="auto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lastRenderedPageBreak/>
        <w:t xml:space="preserve">Федеральная налоговая служба в двухдневный срок с момента снятия физического лица с учета по причине его смерти передает в </w:t>
      </w:r>
      <w:r>
        <w:rPr>
          <w:rFonts w:ascii="Segoe UI" w:hAnsi="Segoe UI" w:cs="Segoe UI"/>
        </w:rPr>
        <w:t>кредитную организацию</w:t>
      </w:r>
      <w:r w:rsidRPr="004727A6">
        <w:rPr>
          <w:rFonts w:ascii="Segoe UI" w:hAnsi="Segoe UI" w:cs="Segoe UI"/>
        </w:rPr>
        <w:t xml:space="preserve"> сведения о</w:t>
      </w:r>
      <w:r>
        <w:rPr>
          <w:rFonts w:ascii="Segoe UI" w:hAnsi="Segoe UI" w:cs="Segoe UI"/>
        </w:rPr>
        <w:t>б умершем</w:t>
      </w:r>
      <w:r w:rsidRPr="004727A6">
        <w:rPr>
          <w:rFonts w:ascii="Segoe UI" w:hAnsi="Segoe UI" w:cs="Segoe UI"/>
        </w:rPr>
        <w:t xml:space="preserve"> клиенте;</w:t>
      </w:r>
    </w:p>
    <w:p w:rsidR="00F04FD0" w:rsidRPr="004727A6" w:rsidRDefault="00F04FD0" w:rsidP="00F04FD0">
      <w:pPr>
        <w:pStyle w:val="a3"/>
        <w:numPr>
          <w:ilvl w:val="0"/>
          <w:numId w:val="12"/>
        </w:numPr>
        <w:spacing w:before="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Кредитная организация</w:t>
      </w:r>
      <w:r w:rsidRPr="004727A6">
        <w:rPr>
          <w:rFonts w:ascii="Segoe UI" w:hAnsi="Segoe UI" w:cs="Segoe UI"/>
        </w:rPr>
        <w:t xml:space="preserve"> на основании полученных сведений обязан</w:t>
      </w:r>
      <w:r>
        <w:rPr>
          <w:rFonts w:ascii="Segoe UI" w:hAnsi="Segoe UI" w:cs="Segoe UI"/>
        </w:rPr>
        <w:t>а</w:t>
      </w:r>
      <w:r w:rsidRPr="004727A6">
        <w:rPr>
          <w:rFonts w:ascii="Segoe UI" w:hAnsi="Segoe UI" w:cs="Segoe UI"/>
        </w:rPr>
        <w:t xml:space="preserve"> прекратить исполнение распоряжений о перечислении и выдаче сумм со счета, вклада (депозита) клиента.</w:t>
      </w:r>
    </w:p>
    <w:p w:rsidR="004727A6" w:rsidRPr="004727A6" w:rsidRDefault="00127E6C" w:rsidP="004727A6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рамках данного информационного обмена </w:t>
      </w:r>
      <w:r w:rsidR="004727A6" w:rsidRPr="004727A6">
        <w:rPr>
          <w:rFonts w:ascii="Segoe UI" w:hAnsi="Segoe UI" w:cs="Segoe UI"/>
        </w:rPr>
        <w:t xml:space="preserve">Адаптер позволяет </w:t>
      </w:r>
      <w:r>
        <w:rPr>
          <w:rFonts w:ascii="Segoe UI" w:hAnsi="Segoe UI" w:cs="Segoe UI"/>
        </w:rPr>
        <w:t>кредитным организациям</w:t>
      </w:r>
      <w:r w:rsidR="004727A6" w:rsidRPr="004727A6">
        <w:rPr>
          <w:rFonts w:ascii="Segoe UI" w:hAnsi="Segoe UI" w:cs="Segoe UI"/>
        </w:rPr>
        <w:t xml:space="preserve"> получать из Федеральной налоговой службы сведения об умерших клиентах</w:t>
      </w:r>
      <w:r>
        <w:rPr>
          <w:rFonts w:ascii="Segoe UI" w:hAnsi="Segoe UI" w:cs="Segoe UI"/>
        </w:rPr>
        <w:t>, которая включает</w:t>
      </w:r>
      <w:r w:rsidR="004727A6" w:rsidRPr="004727A6">
        <w:rPr>
          <w:rFonts w:ascii="Segoe UI" w:hAnsi="Segoe UI" w:cs="Segoe UI"/>
        </w:rPr>
        <w:t>:</w:t>
      </w:r>
    </w:p>
    <w:p w:rsidR="004727A6" w:rsidRPr="004727A6" w:rsidRDefault="004727A6" w:rsidP="004727A6">
      <w:pPr>
        <w:pStyle w:val="a3"/>
        <w:numPr>
          <w:ilvl w:val="0"/>
          <w:numId w:val="11"/>
        </w:numPr>
        <w:spacing w:before="40" w:after="40" w:line="250" w:lineRule="auto"/>
        <w:ind w:left="357" w:hanging="357"/>
        <w:contextualSpacing w:val="0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t>ФИО, серия и номер паспорта, дата рождения, дата смерти, ИНН физического лица;</w:t>
      </w:r>
    </w:p>
    <w:p w:rsidR="004727A6" w:rsidRPr="004727A6" w:rsidRDefault="004727A6" w:rsidP="004727A6">
      <w:pPr>
        <w:pStyle w:val="a3"/>
        <w:numPr>
          <w:ilvl w:val="0"/>
          <w:numId w:val="11"/>
        </w:numPr>
        <w:spacing w:before="40" w:after="40" w:line="250" w:lineRule="auto"/>
        <w:ind w:left="357" w:hanging="357"/>
        <w:contextualSpacing w:val="0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t>номер и дата записи акта о смерти;</w:t>
      </w:r>
    </w:p>
    <w:p w:rsidR="004727A6" w:rsidRPr="004727A6" w:rsidRDefault="004727A6" w:rsidP="004727A6">
      <w:pPr>
        <w:pStyle w:val="a3"/>
        <w:numPr>
          <w:ilvl w:val="0"/>
          <w:numId w:val="11"/>
        </w:numPr>
        <w:spacing w:before="40" w:after="40" w:line="250" w:lineRule="auto"/>
        <w:ind w:left="357" w:hanging="357"/>
        <w:contextualSpacing w:val="0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t>номера и даты открытия банковских счетов в Банке.</w:t>
      </w:r>
    </w:p>
    <w:p w:rsidR="00127E6C" w:rsidRDefault="00127E6C" w:rsidP="004727A6">
      <w:pPr>
        <w:spacing w:before="80" w:after="40" w:line="250" w:lineRule="auto"/>
        <w:rPr>
          <w:rFonts w:ascii="Segoe UI" w:hAnsi="Segoe UI" w:cs="Segoe UI"/>
        </w:rPr>
      </w:pPr>
    </w:p>
    <w:p w:rsidR="004727A6" w:rsidRPr="004727A6" w:rsidRDefault="004727A6" w:rsidP="004727A6">
      <w:pPr>
        <w:spacing w:before="80" w:after="40" w:line="250" w:lineRule="auto"/>
        <w:rPr>
          <w:rFonts w:ascii="Segoe UI" w:hAnsi="Segoe UI" w:cs="Segoe UI"/>
        </w:rPr>
      </w:pPr>
      <w:bookmarkStart w:id="9" w:name="_GoBack"/>
      <w:bookmarkEnd w:id="9"/>
      <w:r w:rsidRPr="004727A6">
        <w:rPr>
          <w:rFonts w:ascii="Segoe UI" w:hAnsi="Segoe UI" w:cs="Segoe UI"/>
        </w:rPr>
        <w:t xml:space="preserve">Рассылка </w:t>
      </w:r>
      <w:r w:rsidR="009634D9">
        <w:rPr>
          <w:rFonts w:ascii="Segoe UI" w:hAnsi="Segoe UI" w:cs="Segoe UI"/>
        </w:rPr>
        <w:t>н</w:t>
      </w:r>
      <w:r w:rsidRPr="004727A6">
        <w:rPr>
          <w:rFonts w:ascii="Segoe UI" w:hAnsi="Segoe UI" w:cs="Segoe UI"/>
        </w:rPr>
        <w:t>алоговой службы проводится адресно. Данные направляются в каждую кредитную организацию, в которой, по данным ФНС, у физического лица был открыт счет.</w:t>
      </w:r>
    </w:p>
    <w:p w:rsidR="00EE1E8A" w:rsidRPr="00A21963" w:rsidRDefault="00EE1E8A" w:rsidP="00E04253">
      <w:pPr>
        <w:spacing w:before="2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Поступающие от ФНС сообщения могут передаваться для последующей</w:t>
      </w:r>
      <w:r w:rsidR="00E04253">
        <w:rPr>
          <w:rFonts w:ascii="Segoe UI" w:hAnsi="Segoe UI" w:cs="Segoe UI"/>
        </w:rPr>
        <w:t xml:space="preserve"> автоматизированной</w:t>
      </w:r>
      <w:r>
        <w:rPr>
          <w:rFonts w:ascii="Segoe UI" w:hAnsi="Segoe UI" w:cs="Segoe UI"/>
        </w:rPr>
        <w:t xml:space="preserve"> обработки в бизнес-системы банка с применением различных каналов взаимодействия</w:t>
      </w:r>
      <w:r w:rsidR="00E04253" w:rsidRPr="00E04253">
        <w:rPr>
          <w:rFonts w:ascii="Segoe UI" w:hAnsi="Segoe UI" w:cs="Segoe UI"/>
        </w:rPr>
        <w:t xml:space="preserve"> </w:t>
      </w:r>
      <w:r w:rsidR="00E04253">
        <w:rPr>
          <w:rFonts w:ascii="Segoe UI" w:hAnsi="Segoe UI" w:cs="Segoe UI"/>
        </w:rPr>
        <w:t xml:space="preserve">или </w:t>
      </w:r>
      <w:r>
        <w:rPr>
          <w:rFonts w:ascii="Segoe UI" w:hAnsi="Segoe UI" w:cs="Segoe UI"/>
        </w:rPr>
        <w:t xml:space="preserve">обрабатываться в ручном режиме, для чего </w:t>
      </w:r>
      <w:r w:rsidR="00365997">
        <w:rPr>
          <w:rFonts w:ascii="Segoe UI" w:hAnsi="Segoe UI" w:cs="Segoe UI"/>
        </w:rPr>
        <w:t>в Адаптере реализован соответствующий пользовательский интерфейс.</w:t>
      </w:r>
      <w:r w:rsidR="00A21963">
        <w:rPr>
          <w:rFonts w:ascii="Segoe UI" w:hAnsi="Segoe UI" w:cs="Segoe UI"/>
        </w:rPr>
        <w:t xml:space="preserve"> В этом случае пользователи могут просматривать списки полученных сообщений, устанавливать отметки на уже обработанных данных, экспортировать полученные сообщения в файлы формата </w:t>
      </w:r>
      <w:r w:rsidR="00A21963">
        <w:rPr>
          <w:rFonts w:ascii="Segoe UI" w:hAnsi="Segoe UI" w:cs="Segoe UI"/>
          <w:lang w:val="en-US"/>
        </w:rPr>
        <w:t>Excel</w:t>
      </w:r>
      <w:r w:rsidR="00A21963" w:rsidRPr="00A21963">
        <w:rPr>
          <w:rFonts w:ascii="Segoe UI" w:hAnsi="Segoe UI" w:cs="Segoe UI"/>
        </w:rPr>
        <w:t xml:space="preserve">, </w:t>
      </w:r>
      <w:r w:rsidR="00A21963">
        <w:rPr>
          <w:rFonts w:ascii="Segoe UI" w:hAnsi="Segoe UI" w:cs="Segoe UI"/>
          <w:lang w:val="en-US"/>
        </w:rPr>
        <w:t>Word</w:t>
      </w:r>
      <w:r w:rsidR="00A21963" w:rsidRPr="00A21963">
        <w:rPr>
          <w:rFonts w:ascii="Segoe UI" w:hAnsi="Segoe UI" w:cs="Segoe UI"/>
        </w:rPr>
        <w:t xml:space="preserve"> </w:t>
      </w:r>
      <w:r w:rsidR="00A21963">
        <w:rPr>
          <w:rFonts w:ascii="Segoe UI" w:hAnsi="Segoe UI" w:cs="Segoe UI"/>
        </w:rPr>
        <w:t xml:space="preserve">и </w:t>
      </w:r>
      <w:r w:rsidR="00A21963">
        <w:rPr>
          <w:rFonts w:ascii="Segoe UI" w:hAnsi="Segoe UI" w:cs="Segoe UI"/>
          <w:lang w:val="en-US"/>
        </w:rPr>
        <w:t>PDF</w:t>
      </w:r>
      <w:r w:rsidR="00A21963" w:rsidRPr="00A21963">
        <w:rPr>
          <w:rFonts w:ascii="Segoe UI" w:hAnsi="Segoe UI" w:cs="Segoe UI"/>
        </w:rPr>
        <w:t>.</w:t>
      </w:r>
    </w:p>
    <w:p w:rsidR="009634D9" w:rsidRDefault="009634D9" w:rsidP="009634D9">
      <w:pPr>
        <w:spacing w:before="240" w:after="40" w:line="250" w:lineRule="auto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6F4CFE49" wp14:editId="4080A393">
            <wp:extent cx="6480175" cy="30600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60065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</w:p>
    <w:p w:rsidR="009634D9" w:rsidRDefault="009634D9" w:rsidP="004727A6">
      <w:pPr>
        <w:spacing w:before="80" w:after="40" w:line="250" w:lineRule="auto"/>
        <w:rPr>
          <w:rFonts w:ascii="Segoe UI" w:hAnsi="Segoe UI" w:cs="Segoe UI"/>
        </w:rPr>
      </w:pPr>
    </w:p>
    <w:p w:rsidR="009634D9" w:rsidRDefault="009634D9" w:rsidP="009634D9">
      <w:pPr>
        <w:spacing w:before="80" w:after="40" w:line="250" w:lineRule="auto"/>
        <w:jc w:val="center"/>
        <w:rPr>
          <w:rFonts w:ascii="Segoe UI" w:hAnsi="Segoe UI" w:cs="Segoe UI"/>
        </w:rPr>
      </w:pPr>
      <w:r>
        <w:rPr>
          <w:noProof/>
        </w:rPr>
        <w:lastRenderedPageBreak/>
        <w:drawing>
          <wp:inline distT="0" distB="0" distL="0" distR="0" wp14:anchorId="168D056D" wp14:editId="57F5A896">
            <wp:extent cx="4942664" cy="3384550"/>
            <wp:effectExtent l="57150" t="19050" r="48895" b="1016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1222" cy="3404105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bookmarkEnd w:id="8"/>
    <w:p w:rsidR="004727A6" w:rsidRDefault="004727A6" w:rsidP="009634D9">
      <w:pPr>
        <w:spacing w:before="120" w:after="40" w:line="250" w:lineRule="auto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t xml:space="preserve">Решение корректно функционирует в различных программных средах, работает на операционных системах семейства </w:t>
      </w:r>
      <w:proofErr w:type="spellStart"/>
      <w:r w:rsidRPr="004727A6">
        <w:rPr>
          <w:rFonts w:ascii="Segoe UI" w:hAnsi="Segoe UI" w:cs="Segoe UI"/>
        </w:rPr>
        <w:t>Windows</w:t>
      </w:r>
      <w:proofErr w:type="spellEnd"/>
      <w:r w:rsidRPr="004727A6">
        <w:rPr>
          <w:rFonts w:ascii="Segoe UI" w:hAnsi="Segoe UI" w:cs="Segoe UI"/>
        </w:rPr>
        <w:t xml:space="preserve"> </w:t>
      </w:r>
      <w:proofErr w:type="spellStart"/>
      <w:r w:rsidRPr="004727A6">
        <w:rPr>
          <w:rFonts w:ascii="Segoe UI" w:hAnsi="Segoe UI" w:cs="Segoe UI"/>
        </w:rPr>
        <w:t>Server</w:t>
      </w:r>
      <w:proofErr w:type="spellEnd"/>
      <w:r w:rsidRPr="004727A6">
        <w:rPr>
          <w:rFonts w:ascii="Segoe UI" w:hAnsi="Segoe UI" w:cs="Segoe UI"/>
        </w:rPr>
        <w:t xml:space="preserve"> (готовится релиз для ОС </w:t>
      </w:r>
      <w:proofErr w:type="spellStart"/>
      <w:r w:rsidRPr="004727A6">
        <w:rPr>
          <w:rFonts w:ascii="Segoe UI" w:hAnsi="Segoe UI" w:cs="Segoe UI"/>
        </w:rPr>
        <w:t>Astra</w:t>
      </w:r>
      <w:proofErr w:type="spellEnd"/>
      <w:r w:rsidRPr="004727A6">
        <w:rPr>
          <w:rFonts w:ascii="Segoe UI" w:hAnsi="Segoe UI" w:cs="Segoe UI"/>
        </w:rPr>
        <w:t xml:space="preserve"> </w:t>
      </w:r>
      <w:proofErr w:type="spellStart"/>
      <w:r w:rsidRPr="004727A6">
        <w:rPr>
          <w:rFonts w:ascii="Segoe UI" w:hAnsi="Segoe UI" w:cs="Segoe UI"/>
        </w:rPr>
        <w:t>Linux</w:t>
      </w:r>
      <w:proofErr w:type="spellEnd"/>
      <w:r w:rsidRPr="004727A6">
        <w:rPr>
          <w:rFonts w:ascii="Segoe UI" w:hAnsi="Segoe UI" w:cs="Segoe UI"/>
        </w:rPr>
        <w:t>).</w:t>
      </w:r>
    </w:p>
    <w:p w:rsidR="004727A6" w:rsidRDefault="004727A6" w:rsidP="004727A6">
      <w:pPr>
        <w:spacing w:before="80" w:after="40" w:line="250" w:lineRule="auto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t>Поддерживаются</w:t>
      </w:r>
      <w:r w:rsidRPr="004727A6">
        <w:rPr>
          <w:rFonts w:ascii="Segoe UI" w:hAnsi="Segoe UI" w:cs="Segoe UI"/>
          <w:lang w:val="en-US"/>
        </w:rPr>
        <w:t xml:space="preserve"> </w:t>
      </w:r>
      <w:r w:rsidRPr="004727A6">
        <w:rPr>
          <w:rFonts w:ascii="Segoe UI" w:hAnsi="Segoe UI" w:cs="Segoe UI"/>
        </w:rPr>
        <w:t>СУБД</w:t>
      </w:r>
      <w:r w:rsidRPr="004727A6">
        <w:rPr>
          <w:rFonts w:ascii="Segoe UI" w:hAnsi="Segoe UI" w:cs="Segoe UI"/>
          <w:lang w:val="en-US"/>
        </w:rPr>
        <w:t xml:space="preserve"> open source Postgres Pro, PostgreSQL, Oracle, MS SQL. </w:t>
      </w:r>
      <w:r w:rsidRPr="004727A6">
        <w:rPr>
          <w:rFonts w:ascii="Segoe UI" w:hAnsi="Segoe UI" w:cs="Segoe UI"/>
        </w:rPr>
        <w:t xml:space="preserve">Интеграция Адаптера c системами Банка может быть проведена через </w:t>
      </w:r>
      <w:proofErr w:type="spellStart"/>
      <w:r w:rsidRPr="004727A6">
        <w:rPr>
          <w:rFonts w:ascii="Segoe UI" w:hAnsi="Segoe UI" w:cs="Segoe UI"/>
        </w:rPr>
        <w:t>soap</w:t>
      </w:r>
      <w:proofErr w:type="spellEnd"/>
      <w:r w:rsidRPr="004727A6">
        <w:rPr>
          <w:rFonts w:ascii="Segoe UI" w:hAnsi="Segoe UI" w:cs="Segoe UI"/>
        </w:rPr>
        <w:t xml:space="preserve">-запросы, очереди MQ, обращение к базе данных, файловый обмен. 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530"/>
      </w:tblGrid>
      <w:tr w:rsidR="00E04253" w:rsidRPr="00EE1E8A" w:rsidTr="00E04AE5">
        <w:tc>
          <w:tcPr>
            <w:tcW w:w="5812" w:type="dxa"/>
          </w:tcPr>
          <w:p w:rsidR="00E04253" w:rsidRPr="00EE1E8A" w:rsidRDefault="00E04253" w:rsidP="00E04AE5">
            <w:pPr>
              <w:spacing w:before="80" w:after="40" w:line="250" w:lineRule="auto"/>
              <w:ind w:left="57"/>
              <w:rPr>
                <w:rFonts w:ascii="Segoe UI" w:hAnsi="Segoe UI" w:cs="Segoe UI"/>
              </w:rPr>
            </w:pPr>
            <w:r w:rsidRPr="00EE1E8A">
              <w:rPr>
                <w:rFonts w:ascii="Segoe UI" w:hAnsi="Segoe UI" w:cs="Segoe UI"/>
              </w:rPr>
              <w:t xml:space="preserve">Описание программного интерфейса Платформы «СМЭВ-Интегратор» приведено в этом документе: </w:t>
            </w:r>
          </w:p>
        </w:tc>
        <w:bookmarkStart w:id="10" w:name="_MON_1746008046"/>
        <w:bookmarkEnd w:id="10"/>
        <w:tc>
          <w:tcPr>
            <w:tcW w:w="4530" w:type="dxa"/>
          </w:tcPr>
          <w:p w:rsidR="00E04253" w:rsidRPr="00EE1E8A" w:rsidRDefault="00E04253" w:rsidP="00E04AE5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object w:dxaOrig="152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15pt;height:49.4pt" o:ole="">
                  <v:imagedata r:id="rId12" o:title=""/>
                </v:shape>
                <o:OLEObject Type="Embed" ProgID="Word.Document.12" ShapeID="_x0000_i1025" DrawAspect="Icon" ObjectID="_1749040051" r:id="rId13">
                  <o:FieldCodes>\s</o:FieldCodes>
                </o:OLEObject>
              </w:object>
            </w:r>
          </w:p>
        </w:tc>
      </w:tr>
    </w:tbl>
    <w:p w:rsidR="004727A6" w:rsidRDefault="004727A6" w:rsidP="004727A6">
      <w:pPr>
        <w:spacing w:before="80" w:after="40" w:line="250" w:lineRule="auto"/>
        <w:rPr>
          <w:rFonts w:ascii="Segoe UI" w:hAnsi="Segoe UI" w:cs="Segoe UI"/>
        </w:rPr>
      </w:pPr>
      <w:r w:rsidRPr="004727A6">
        <w:rPr>
          <w:rFonts w:ascii="Segoe UI" w:hAnsi="Segoe UI" w:cs="Segoe UI"/>
        </w:rPr>
        <w:t xml:space="preserve">Адаптер в составе Платформы «СМЭВ-Интегратор» включен в Единый реестр российских программ для электронных вычислительных машин и баз данных под регистрационными </w:t>
      </w:r>
      <w:r w:rsidR="000B60CB">
        <w:rPr>
          <w:rFonts w:ascii="Segoe UI" w:hAnsi="Segoe UI" w:cs="Segoe UI"/>
        </w:rPr>
        <w:br/>
      </w:r>
      <w:r w:rsidRPr="004727A6">
        <w:rPr>
          <w:rFonts w:ascii="Segoe UI" w:hAnsi="Segoe UI" w:cs="Segoe UI"/>
        </w:rPr>
        <w:t>номером 9033</w:t>
      </w:r>
      <w:r w:rsidR="000B60CB">
        <w:rPr>
          <w:rFonts w:ascii="Segoe UI" w:hAnsi="Segoe UI" w:cs="Segoe UI"/>
        </w:rPr>
        <w:t>.</w:t>
      </w:r>
    </w:p>
    <w:p w:rsidR="004727A6" w:rsidRDefault="004727A6" w:rsidP="0029650C"/>
    <w:p w:rsidR="00726ED5" w:rsidRPr="0084459F" w:rsidRDefault="009B060B" w:rsidP="00EA285B">
      <w:pPr>
        <w:pStyle w:val="1"/>
      </w:pPr>
      <w:bookmarkStart w:id="11" w:name="_Toc136442413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6"/>
      <w:bookmarkEnd w:id="11"/>
    </w:p>
    <w:p w:rsidR="00A8206E" w:rsidRPr="00A8206E" w:rsidRDefault="00A8206E" w:rsidP="00A8206E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Общие сведения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F50C9D" w:rsidRPr="00766075" w:rsidRDefault="00766075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66075">
              <w:rPr>
                <w:rFonts w:ascii="Segoe UI" w:hAnsi="Segoe UI" w:cs="Segoe UI"/>
                <w:sz w:val="20"/>
                <w:szCs w:val="20"/>
              </w:rPr>
              <w:t>Сведения о снятии физического лица с учета в налоговых органах в связи со смертью, представляемых в банки, сообщившие информацию о счетах физического лица.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F50C9D" w:rsidRPr="00766075" w:rsidRDefault="004B715B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DE5993" w:rsidRPr="00DE5993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0.</w:t>
            </w:r>
            <w:r w:rsidR="00766075">
              <w:rPr>
                <w:rFonts w:ascii="Segoe UI" w:hAnsi="Segoe UI" w:cs="Segoe UI"/>
                <w:sz w:val="20"/>
                <w:szCs w:val="20"/>
                <w:lang w:val="en-US"/>
              </w:rPr>
              <w:t>1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F50C9D" w:rsidRPr="003C5CFE" w:rsidRDefault="000C17A3" w:rsidP="00DE5993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r w:rsidRPr="000C17A3">
              <w:rPr>
                <w:rStyle w:val="a6"/>
                <w:rFonts w:ascii="Segoe UI" w:hAnsi="Segoe UI" w:cs="Segoe UI"/>
                <w:sz w:val="16"/>
                <w:szCs w:val="16"/>
              </w:rPr>
              <w:t>https://lkuv.gosuslugi.ru/paip-portal/#/inquiries/2f181d02-247b-11ed-b8a0-55e150ac6a14/versions/9707d27b-b320-4d6e-8c23-e7b1e9f64b31?area=PROD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DE5993" w:rsidRPr="00DE5993" w:rsidRDefault="00C552A6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C552A6">
              <w:rPr>
                <w:rFonts w:ascii="Segoe UI" w:hAnsi="Segoe UI" w:cs="Segoe UI"/>
                <w:sz w:val="20"/>
                <w:szCs w:val="20"/>
                <w:lang w:val="en-US"/>
              </w:rPr>
              <w:t>UVSMERTFL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DE5993" w:rsidRDefault="001675B6" w:rsidP="001675B6">
            <w:pPr>
              <w:pStyle w:val="a3"/>
              <w:numPr>
                <w:ilvl w:val="0"/>
                <w:numId w:val="9"/>
              </w:numPr>
              <w:spacing w:before="80" w:after="40" w:line="250" w:lineRule="auto"/>
              <w:ind w:left="357" w:hanging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Адаптер получает их СМЭВ входящее сообщение </w:t>
            </w:r>
            <w:r w:rsidRPr="00766075">
              <w:rPr>
                <w:rFonts w:ascii="Segoe UI" w:hAnsi="Segoe UI" w:cs="Segoe UI"/>
                <w:sz w:val="20"/>
                <w:szCs w:val="20"/>
              </w:rPr>
              <w:t>о снятии физического лица с учета в налоговых органах в связи со смертью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2C4D00" w:rsidRDefault="002C4D00" w:rsidP="002C4D00">
            <w:pPr>
              <w:pStyle w:val="a3"/>
              <w:spacing w:before="80" w:after="40" w:line="250" w:lineRule="auto"/>
              <w:ind w:left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2C4D00">
              <w:rPr>
                <w:rFonts w:ascii="Segoe UI" w:hAnsi="Segoe UI" w:cs="Segoe UI"/>
                <w:sz w:val="20"/>
                <w:szCs w:val="20"/>
              </w:rPr>
              <w:lastRenderedPageBreak/>
              <w:t>Уведомление о смерти направля</w:t>
            </w:r>
            <w:r>
              <w:rPr>
                <w:rFonts w:ascii="Segoe UI" w:hAnsi="Segoe UI" w:cs="Segoe UI"/>
                <w:sz w:val="20"/>
                <w:szCs w:val="20"/>
              </w:rPr>
              <w:t>ется</w:t>
            </w:r>
            <w:r w:rsidRPr="002C4D00">
              <w:rPr>
                <w:rFonts w:ascii="Segoe UI" w:hAnsi="Segoe UI" w:cs="Segoe UI"/>
                <w:sz w:val="20"/>
                <w:szCs w:val="20"/>
              </w:rPr>
              <w:t xml:space="preserve"> в банк, только если клиент име</w:t>
            </w:r>
            <w:r>
              <w:rPr>
                <w:rFonts w:ascii="Segoe UI" w:hAnsi="Segoe UI" w:cs="Segoe UI"/>
                <w:sz w:val="20"/>
                <w:szCs w:val="20"/>
              </w:rPr>
              <w:t>л</w:t>
            </w:r>
            <w:r w:rsidRPr="002C4D00">
              <w:rPr>
                <w:rFonts w:ascii="Segoe UI" w:hAnsi="Segoe UI" w:cs="Segoe UI"/>
                <w:sz w:val="20"/>
                <w:szCs w:val="20"/>
              </w:rPr>
              <w:t xml:space="preserve"> открытые счета в банке.</w:t>
            </w:r>
          </w:p>
          <w:p w:rsidR="007C4AC0" w:rsidRDefault="001675B6" w:rsidP="001675B6">
            <w:pPr>
              <w:pStyle w:val="a3"/>
              <w:numPr>
                <w:ilvl w:val="0"/>
                <w:numId w:val="9"/>
              </w:numPr>
              <w:spacing w:before="80" w:after="40" w:line="250" w:lineRule="auto"/>
              <w:ind w:left="357" w:hanging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Адаптер </w:t>
            </w:r>
            <w:r w:rsidR="002E1A35">
              <w:rPr>
                <w:rFonts w:ascii="Segoe UI" w:hAnsi="Segoe UI" w:cs="Segoe UI"/>
                <w:sz w:val="20"/>
                <w:szCs w:val="20"/>
              </w:rPr>
              <w:t>с</w:t>
            </w:r>
            <w:r>
              <w:rPr>
                <w:rFonts w:ascii="Segoe UI" w:hAnsi="Segoe UI" w:cs="Segoe UI"/>
                <w:sz w:val="20"/>
                <w:szCs w:val="20"/>
              </w:rPr>
              <w:t>веряет реквизиты кредитной организации-получателя, указанные в поступившем сообщении, с реквизитами, установленными в настройках Адаптера</w:t>
            </w:r>
            <w:r w:rsidR="007C4AC0">
              <w:rPr>
                <w:rFonts w:ascii="Segoe UI" w:hAnsi="Segoe UI" w:cs="Segoe UI"/>
                <w:sz w:val="20"/>
                <w:szCs w:val="20"/>
              </w:rPr>
              <w:t>, включая:</w:t>
            </w:r>
          </w:p>
          <w:p w:rsidR="007C4AC0" w:rsidRDefault="007C4AC0" w:rsidP="007C4AC0">
            <w:pPr>
              <w:pStyle w:val="a3"/>
              <w:numPr>
                <w:ilvl w:val="0"/>
                <w:numId w:val="10"/>
              </w:numPr>
              <w:spacing w:before="80" w:after="40" w:line="250" w:lineRule="auto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БИК банка;</w:t>
            </w:r>
          </w:p>
          <w:p w:rsidR="007C4AC0" w:rsidRDefault="007C4AC0" w:rsidP="007C4AC0">
            <w:pPr>
              <w:pStyle w:val="a3"/>
              <w:numPr>
                <w:ilvl w:val="0"/>
                <w:numId w:val="10"/>
              </w:numPr>
              <w:spacing w:before="80" w:after="40" w:line="250" w:lineRule="auto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ИНН;</w:t>
            </w:r>
          </w:p>
          <w:p w:rsidR="007C4AC0" w:rsidRDefault="007C4AC0" w:rsidP="007C4AC0">
            <w:pPr>
              <w:pStyle w:val="a3"/>
              <w:numPr>
                <w:ilvl w:val="0"/>
                <w:numId w:val="10"/>
              </w:numPr>
              <w:spacing w:before="80" w:after="40" w:line="250" w:lineRule="auto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КПП.</w:t>
            </w:r>
          </w:p>
          <w:p w:rsidR="001675B6" w:rsidRDefault="001675B6" w:rsidP="007C4AC0">
            <w:pPr>
              <w:pStyle w:val="a3"/>
              <w:spacing w:before="80" w:after="40" w:line="250" w:lineRule="auto"/>
              <w:ind w:left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По результатам проверки Адаптер</w:t>
            </w:r>
            <w:r w:rsidR="007C4AC0">
              <w:rPr>
                <w:rFonts w:ascii="Segoe UI" w:hAnsi="Segoe UI" w:cs="Segoe UI"/>
                <w:sz w:val="20"/>
                <w:szCs w:val="20"/>
              </w:rPr>
              <w:t xml:space="preserve"> в автоматическом режиме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формирует и направляет в ФНС ответное сообщение с подтверждением</w:t>
            </w:r>
            <w:r w:rsidR="007C4AC0">
              <w:rPr>
                <w:rFonts w:ascii="Segoe UI" w:hAnsi="Segoe UI" w:cs="Segoe UI"/>
                <w:sz w:val="20"/>
                <w:szCs w:val="20"/>
              </w:rPr>
              <w:t xml:space="preserve"> или отказом в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прием</w:t>
            </w:r>
            <w:r w:rsidR="007C4AC0">
              <w:rPr>
                <w:rFonts w:ascii="Segoe UI" w:hAnsi="Segoe UI" w:cs="Segoe UI"/>
                <w:sz w:val="20"/>
                <w:szCs w:val="20"/>
              </w:rPr>
              <w:t>е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1675B6" w:rsidRPr="001675B6" w:rsidRDefault="001675B6" w:rsidP="001675B6">
            <w:pPr>
              <w:pStyle w:val="a3"/>
              <w:numPr>
                <w:ilvl w:val="0"/>
                <w:numId w:val="9"/>
              </w:numPr>
              <w:spacing w:before="80" w:after="40" w:line="250" w:lineRule="auto"/>
              <w:ind w:left="357" w:hanging="357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Адаптер передаёт полученное сообщение в ИСК по выбранному протоколу обмена.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lastRenderedPageBreak/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</w:tbl>
    <w:p w:rsidR="004727A6" w:rsidRDefault="004727A6" w:rsidP="004727A6"/>
    <w:p w:rsidR="004727A6" w:rsidRPr="0029650C" w:rsidRDefault="004727A6" w:rsidP="004727A6">
      <w:pPr>
        <w:rPr>
          <w:rFonts w:ascii="Segoe UI Semibold" w:hAnsi="Segoe UI Semibold" w:cs="Segoe UI Semibold"/>
          <w:sz w:val="24"/>
          <w:szCs w:val="24"/>
        </w:rPr>
      </w:pPr>
      <w:r w:rsidRPr="0029650C">
        <w:rPr>
          <w:rFonts w:ascii="Segoe UI Semibold" w:hAnsi="Segoe UI Semibold" w:cs="Segoe UI Semibold"/>
          <w:sz w:val="24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4727A6" w:rsidRPr="0029650C" w:rsidTr="00476035">
        <w:trPr>
          <w:tblHeader/>
        </w:trPr>
        <w:tc>
          <w:tcPr>
            <w:tcW w:w="1585" w:type="dxa"/>
            <w:shd w:val="clear" w:color="auto" w:fill="D9D9D9" w:themeFill="background1" w:themeFillShade="D9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 w:rsidRPr="0029650C">
              <w:rPr>
                <w:rFonts w:ascii="Segoe UI" w:hAnsi="Segoe UI" w:cs="Segoe UI"/>
              </w:rPr>
              <w:t>Обозначение</w:t>
            </w:r>
          </w:p>
        </w:tc>
        <w:tc>
          <w:tcPr>
            <w:tcW w:w="8610" w:type="dxa"/>
            <w:shd w:val="clear" w:color="auto" w:fill="D9D9D9" w:themeFill="background1" w:themeFillShade="D9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 w:rsidRPr="0029650C">
              <w:rPr>
                <w:rFonts w:ascii="Segoe UI" w:hAnsi="Segoe UI" w:cs="Segoe UI"/>
              </w:rPr>
              <w:t>Комментарий</w:t>
            </w:r>
          </w:p>
        </w:tc>
      </w:tr>
      <w:tr w:rsidR="004727A6" w:rsidRPr="0029650C" w:rsidTr="00476035">
        <w:tc>
          <w:tcPr>
            <w:tcW w:w="1585" w:type="dxa"/>
          </w:tcPr>
          <w:p w:rsidR="004727A6" w:rsidRPr="0029650C" w:rsidRDefault="004727A6" w:rsidP="00476035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</w:t>
            </w:r>
          </w:p>
        </w:tc>
        <w:tc>
          <w:tcPr>
            <w:tcW w:w="8610" w:type="dxa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 элемент или атрибут</w:t>
            </w:r>
          </w:p>
        </w:tc>
      </w:tr>
      <w:tr w:rsidR="004727A6" w:rsidRPr="0029650C" w:rsidTr="00476035">
        <w:tc>
          <w:tcPr>
            <w:tcW w:w="1585" w:type="dxa"/>
          </w:tcPr>
          <w:p w:rsidR="004727A6" w:rsidRPr="0029650C" w:rsidRDefault="004727A6" w:rsidP="00476035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</w:t>
            </w:r>
          </w:p>
        </w:tc>
        <w:tc>
          <w:tcPr>
            <w:tcW w:w="8610" w:type="dxa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Необязательный элемент или атрибут</w:t>
            </w:r>
          </w:p>
        </w:tc>
      </w:tr>
      <w:tr w:rsidR="004727A6" w:rsidRPr="0029650C" w:rsidTr="00476035">
        <w:tc>
          <w:tcPr>
            <w:tcW w:w="1585" w:type="dxa"/>
          </w:tcPr>
          <w:p w:rsidR="004727A6" w:rsidRPr="0029650C" w:rsidRDefault="004727A6" w:rsidP="00476035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УО</w:t>
            </w:r>
          </w:p>
        </w:tc>
        <w:tc>
          <w:tcPr>
            <w:tcW w:w="8610" w:type="dxa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4727A6" w:rsidRPr="0029650C" w:rsidTr="00476035">
        <w:tc>
          <w:tcPr>
            <w:tcW w:w="1585" w:type="dxa"/>
          </w:tcPr>
          <w:p w:rsidR="004727A6" w:rsidRPr="0029650C" w:rsidRDefault="004727A6" w:rsidP="00476035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ОМ</w:t>
            </w:r>
          </w:p>
        </w:tc>
        <w:tc>
          <w:tcPr>
            <w:tcW w:w="8610" w:type="dxa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 множественный элемент</w:t>
            </w:r>
          </w:p>
        </w:tc>
      </w:tr>
      <w:tr w:rsidR="004727A6" w:rsidRPr="0029650C" w:rsidTr="00476035">
        <w:tc>
          <w:tcPr>
            <w:tcW w:w="1585" w:type="dxa"/>
          </w:tcPr>
          <w:p w:rsidR="004727A6" w:rsidRDefault="004727A6" w:rsidP="00476035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ОК</w:t>
            </w:r>
          </w:p>
        </w:tc>
        <w:tc>
          <w:tcPr>
            <w:tcW w:w="8610" w:type="dxa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Обязательный. Значение берётся из классификатора (справочника)</w:t>
            </w:r>
          </w:p>
        </w:tc>
      </w:tr>
      <w:tr w:rsidR="004727A6" w:rsidRPr="0029650C" w:rsidTr="00476035">
        <w:tc>
          <w:tcPr>
            <w:tcW w:w="1585" w:type="dxa"/>
          </w:tcPr>
          <w:p w:rsidR="004727A6" w:rsidRPr="0029650C" w:rsidRDefault="004727A6" w:rsidP="00476035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НМ</w:t>
            </w:r>
          </w:p>
        </w:tc>
        <w:tc>
          <w:tcPr>
            <w:tcW w:w="8610" w:type="dxa"/>
          </w:tcPr>
          <w:p w:rsidR="004727A6" w:rsidRPr="0029650C" w:rsidRDefault="004727A6" w:rsidP="00476035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Необязательный множественный элемент</w:t>
            </w:r>
          </w:p>
        </w:tc>
      </w:tr>
    </w:tbl>
    <w:p w:rsidR="004727A6" w:rsidRPr="004727A6" w:rsidRDefault="004727A6" w:rsidP="004727A6"/>
    <w:p w:rsidR="00586157" w:rsidRDefault="007C4AC0" w:rsidP="0029650C">
      <w:pPr>
        <w:pStyle w:val="2"/>
        <w:spacing w:after="120"/>
      </w:pPr>
      <w:bookmarkStart w:id="12" w:name="_Toc136442414"/>
      <w:r>
        <w:t>Входящее сообщение</w:t>
      </w:r>
      <w:bookmarkEnd w:id="12"/>
    </w:p>
    <w:p w:rsidR="001675B6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</w:t>
      </w:r>
      <w:r w:rsidR="001675B6">
        <w:rPr>
          <w:rFonts w:ascii="Segoe UI" w:hAnsi="Segoe UI" w:cs="Segoe UI"/>
        </w:rPr>
        <w:t xml:space="preserve"> входящего</w:t>
      </w:r>
      <w:r>
        <w:rPr>
          <w:rFonts w:ascii="Segoe UI" w:hAnsi="Segoe UI" w:cs="Segoe UI"/>
        </w:rPr>
        <w:t xml:space="preserve"> </w:t>
      </w:r>
      <w:r w:rsidR="001675B6" w:rsidRPr="001675B6">
        <w:rPr>
          <w:rFonts w:ascii="Segoe UI" w:hAnsi="Segoe UI" w:cs="Segoe UI"/>
        </w:rPr>
        <w:t xml:space="preserve">сообщения, которое Адаптер </w:t>
      </w:r>
      <w:r w:rsidR="001675B6">
        <w:rPr>
          <w:rFonts w:ascii="Segoe UI" w:hAnsi="Segoe UI" w:cs="Segoe UI"/>
        </w:rPr>
        <w:t>передаёт</w:t>
      </w:r>
      <w:r w:rsidR="001675B6" w:rsidRPr="001675B6">
        <w:rPr>
          <w:rFonts w:ascii="Segoe UI" w:hAnsi="Segoe UI" w:cs="Segoe UI"/>
        </w:rPr>
        <w:t xml:space="preserve"> в ИСК, приведена в</w:t>
      </w:r>
      <w:r w:rsidR="001675B6">
        <w:rPr>
          <w:rFonts w:ascii="Segoe UI" w:hAnsi="Segoe UI" w:cs="Segoe UI"/>
        </w:rPr>
        <w:t xml:space="preserve"> </w:t>
      </w:r>
      <w:r w:rsidR="001675B6">
        <w:rPr>
          <w:rFonts w:ascii="Segoe UI" w:hAnsi="Segoe UI" w:cs="Segoe UI"/>
        </w:rPr>
        <w:fldChar w:fldCharType="begin"/>
      </w:r>
      <w:r w:rsidR="001675B6">
        <w:rPr>
          <w:rFonts w:ascii="Segoe UI" w:hAnsi="Segoe UI" w:cs="Segoe UI"/>
        </w:rPr>
        <w:instrText xml:space="preserve"> REF _Ref70030298 \h </w:instrText>
      </w:r>
      <w:r w:rsidR="001675B6">
        <w:rPr>
          <w:rFonts w:ascii="Segoe UI" w:hAnsi="Segoe UI" w:cs="Segoe UI"/>
        </w:rPr>
      </w:r>
      <w:r w:rsidR="001675B6">
        <w:rPr>
          <w:rFonts w:ascii="Segoe UI" w:hAnsi="Segoe UI" w:cs="Segoe UI"/>
        </w:rPr>
        <w:fldChar w:fldCharType="separate"/>
      </w:r>
      <w:r w:rsidR="001675B6">
        <w:t xml:space="preserve">Табл. </w:t>
      </w:r>
      <w:r w:rsidR="001675B6">
        <w:rPr>
          <w:noProof/>
        </w:rPr>
        <w:t>1</w:t>
      </w:r>
      <w:r w:rsidR="001675B6">
        <w:rPr>
          <w:rFonts w:ascii="Segoe UI" w:hAnsi="Segoe UI" w:cs="Segoe UI"/>
        </w:rPr>
        <w:fldChar w:fldCharType="end"/>
      </w:r>
      <w:r w:rsidR="001675B6" w:rsidRPr="001675B6">
        <w:rPr>
          <w:rFonts w:ascii="Segoe UI" w:hAnsi="Segoe UI" w:cs="Segoe UI"/>
        </w:rPr>
        <w:t>. Запрос передаётся в ИСК в составе унифицированного ИСК-конверта (см. документ «Платформа «СМЭВ-Интегратор. Описание программного интерфейса», табл. 1).</w:t>
      </w:r>
    </w:p>
    <w:p w:rsidR="00F2506A" w:rsidRDefault="00F2506A" w:rsidP="00F2506A">
      <w:pPr>
        <w:pStyle w:val="-"/>
      </w:pPr>
      <w:bookmarkStart w:id="13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1</w:t>
      </w:r>
      <w:r w:rsidR="005A0374">
        <w:rPr>
          <w:noProof/>
        </w:rPr>
        <w:fldChar w:fldCharType="end"/>
      </w:r>
      <w:bookmarkEnd w:id="13"/>
      <w:r>
        <w:t xml:space="preserve">. Структура </w:t>
      </w:r>
      <w:r w:rsidR="001675B6">
        <w:t>входящего сообщения</w:t>
      </w:r>
      <w:r>
        <w:t xml:space="preserve">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560"/>
        <w:gridCol w:w="4110"/>
      </w:tblGrid>
      <w:tr w:rsidR="001108E5" w:rsidRPr="00B46D61" w:rsidTr="00A460F0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08E5" w:rsidRPr="00B46D61" w:rsidRDefault="0029650C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="Segoe UI"/>
                <w:sz w:val="20"/>
                <w:szCs w:val="20"/>
              </w:rPr>
              <w:t>Обязатель</w:t>
            </w:r>
            <w:r w:rsidR="00D74033">
              <w:rPr>
                <w:rFonts w:cs="Segoe UI"/>
                <w:sz w:val="20"/>
                <w:szCs w:val="20"/>
              </w:rPr>
              <w:t>-</w:t>
            </w:r>
            <w:r>
              <w:rPr>
                <w:rFonts w:cs="Segoe UI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A460F0">
        <w:tc>
          <w:tcPr>
            <w:tcW w:w="993" w:type="dxa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108E5" w:rsidRPr="005A52D4" w:rsidRDefault="00A460F0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bookmarkStart w:id="14" w:name="_Hlk132645943"/>
            <w:proofErr w:type="spellStart"/>
            <w:r w:rsidRPr="00A460F0">
              <w:rPr>
                <w:rFonts w:cs="Segoe UI"/>
                <w:sz w:val="20"/>
                <w:szCs w:val="20"/>
              </w:rPr>
              <w:t>UVSMERTFL</w:t>
            </w:r>
            <w:bookmarkEnd w:id="14"/>
            <w:r w:rsidRPr="00A460F0">
              <w:rPr>
                <w:rFonts w:cs="Segoe UI"/>
                <w:sz w:val="20"/>
                <w:szCs w:val="20"/>
              </w:rPr>
              <w:t>Request</w:t>
            </w:r>
            <w:proofErr w:type="spellEnd"/>
          </w:p>
        </w:tc>
        <w:tc>
          <w:tcPr>
            <w:tcW w:w="1275" w:type="dxa"/>
          </w:tcPr>
          <w:p w:rsidR="001108E5" w:rsidRPr="0029650C" w:rsidRDefault="0029650C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1108E5" w:rsidRPr="00B46D61" w:rsidRDefault="00831180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</w:t>
            </w:r>
            <w:r w:rsidR="0095028F">
              <w:rPr>
                <w:rFonts w:cs="Segoe UI"/>
                <w:sz w:val="20"/>
                <w:szCs w:val="20"/>
              </w:rPr>
              <w:t>лок</w:t>
            </w:r>
          </w:p>
        </w:tc>
        <w:tc>
          <w:tcPr>
            <w:tcW w:w="4110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Корневой элемент </w:t>
            </w:r>
            <w:r w:rsidR="00A460F0">
              <w:rPr>
                <w:rFonts w:cs="Segoe UI"/>
                <w:sz w:val="20"/>
                <w:szCs w:val="20"/>
              </w:rPr>
              <w:t>входящего сообщения</w:t>
            </w:r>
            <w:r w:rsidR="00831180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863740" w:rsidRPr="00C70EBE" w:rsidTr="004E0CE3">
        <w:tc>
          <w:tcPr>
            <w:tcW w:w="993" w:type="dxa"/>
          </w:tcPr>
          <w:p w:rsidR="00863740" w:rsidRP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  <w:lang w:val="en-US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  <w:lang w:val="en-US"/>
              </w:rPr>
              <w:t>ИдЗапрос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1-36)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Идентификатор запроса, сформированный запрашивающей стороной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C70EBE" w:rsidTr="004E0CE3">
        <w:tc>
          <w:tcPr>
            <w:tcW w:w="993" w:type="dxa"/>
          </w:tcPr>
          <w:p w:rsidR="00863740" w:rsidRP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 А2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  <w:lang w:val="en-US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  <w:lang w:val="en-US"/>
              </w:rPr>
              <w:t>ДатаСнят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3118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=1</w:t>
            </w: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Pr="00831180">
              <w:rPr>
                <w:rFonts w:ascii="Segoe UI" w:hAnsi="Segoe UI" w:cs="Segoe UI"/>
                <w:sz w:val="20"/>
                <w:szCs w:val="20"/>
              </w:rPr>
              <w:t>) /</w:t>
            </w:r>
            <w:r w:rsidR="00863740" w:rsidRPr="00831180"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Дата снятия с учета</w:t>
            </w:r>
            <w:r w:rsidR="00831180">
              <w:t xml:space="preserve"> </w:t>
            </w:r>
            <w:r w:rsidR="00831180" w:rsidRPr="00831180">
              <w:rPr>
                <w:rFonts w:ascii="Segoe UI" w:hAnsi="Segoe UI" w:cs="Segoe UI"/>
                <w:sz w:val="20"/>
              </w:rPr>
              <w:t>в формате ГГГГ-ММ-ДД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C70EBE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  <w:lang w:val="en-US"/>
              </w:rPr>
            </w:pPr>
            <w:r w:rsidRPr="00831180">
              <w:rPr>
                <w:rFonts w:ascii="Segoe UI" w:hAnsi="Segoe UI" w:cs="Segoe UI"/>
                <w:sz w:val="20"/>
                <w:lang w:val="en-US"/>
              </w:rPr>
              <w:t>ИННФЛ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=12)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ИНН физического лица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C70EBE" w:rsidTr="004E0CE3">
        <w:tc>
          <w:tcPr>
            <w:tcW w:w="993" w:type="dxa"/>
          </w:tcPr>
          <w:p w:rsidR="00863740" w:rsidRPr="00C741E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  <w:lang w:val="en-US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  <w:lang w:val="en-US"/>
              </w:rPr>
              <w:t>ПрДатаРожд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Т(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=1)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80" w:rsidRPr="00831180" w:rsidRDefault="0086374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Признак полноты представляемой даты рождения физического лица</w:t>
            </w:r>
            <w:r w:rsidR="00831180">
              <w:rPr>
                <w:rFonts w:ascii="Segoe UI" w:hAnsi="Segoe UI" w:cs="Segoe UI"/>
                <w:sz w:val="20"/>
              </w:rPr>
              <w:t xml:space="preserve">. </w:t>
            </w:r>
            <w:r w:rsidR="00831180" w:rsidRPr="00831180">
              <w:rPr>
                <w:rFonts w:ascii="Segoe UI" w:hAnsi="Segoe UI" w:cs="Segoe UI"/>
                <w:sz w:val="20"/>
              </w:rPr>
              <w:t>Принимает значение:</w:t>
            </w:r>
          </w:p>
          <w:p w:rsidR="00831180" w:rsidRPr="00831180" w:rsidRDefault="0083118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1 – в дате только год рождения</w:t>
            </w:r>
            <w:r>
              <w:rPr>
                <w:rFonts w:ascii="Segoe UI" w:hAnsi="Segoe UI" w:cs="Segoe UI"/>
                <w:sz w:val="20"/>
              </w:rPr>
              <w:t>;</w:t>
            </w:r>
          </w:p>
          <w:p w:rsidR="00831180" w:rsidRPr="00831180" w:rsidRDefault="0083118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2 – в дате месяц и год рождения</w:t>
            </w:r>
            <w:r>
              <w:rPr>
                <w:rFonts w:ascii="Segoe UI" w:hAnsi="Segoe UI" w:cs="Segoe UI"/>
                <w:sz w:val="20"/>
              </w:rPr>
              <w:t>;</w:t>
            </w:r>
          </w:p>
          <w:p w:rsidR="00863740" w:rsidRPr="00831180" w:rsidRDefault="0083118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3 – полная дата рождения</w:t>
            </w:r>
            <w:r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ДатаРожд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iCs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iCs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Дата рождения</w:t>
            </w:r>
            <w:r w:rsidR="00831180">
              <w:t xml:space="preserve"> </w:t>
            </w:r>
            <w:r w:rsidR="00831180" w:rsidRPr="00831180">
              <w:rPr>
                <w:rFonts w:ascii="Segoe UI" w:hAnsi="Segoe UI" w:cs="Segoe UI"/>
                <w:sz w:val="20"/>
              </w:rPr>
              <w:t>в формате ГГГГ-ММ-ДД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ПрДатаСмерт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iCs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Т(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=1)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80" w:rsidRPr="00831180" w:rsidRDefault="0086374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Признак полноты представляемой даты смерти физического лица</w:t>
            </w:r>
            <w:r w:rsidR="00831180">
              <w:rPr>
                <w:rFonts w:ascii="Segoe UI" w:hAnsi="Segoe UI" w:cs="Segoe UI"/>
                <w:sz w:val="20"/>
              </w:rPr>
              <w:t xml:space="preserve">. </w:t>
            </w:r>
            <w:r w:rsidR="00831180" w:rsidRPr="00831180">
              <w:rPr>
                <w:rFonts w:ascii="Segoe UI" w:hAnsi="Segoe UI" w:cs="Segoe UI"/>
                <w:sz w:val="20"/>
              </w:rPr>
              <w:t>Принимает значение:</w:t>
            </w:r>
          </w:p>
          <w:p w:rsidR="00831180" w:rsidRPr="00831180" w:rsidRDefault="0083118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1 – в дате только год рождения</w:t>
            </w:r>
            <w:r>
              <w:rPr>
                <w:rFonts w:ascii="Segoe UI" w:hAnsi="Segoe UI" w:cs="Segoe UI"/>
                <w:sz w:val="20"/>
              </w:rPr>
              <w:t>;</w:t>
            </w:r>
          </w:p>
          <w:p w:rsidR="00831180" w:rsidRPr="00831180" w:rsidRDefault="0083118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2 – в дате месяц и год рождения</w:t>
            </w:r>
            <w:r>
              <w:rPr>
                <w:rFonts w:ascii="Segoe UI" w:hAnsi="Segoe UI" w:cs="Segoe UI"/>
                <w:sz w:val="20"/>
              </w:rPr>
              <w:t>;</w:t>
            </w:r>
          </w:p>
          <w:p w:rsidR="00863740" w:rsidRPr="00831180" w:rsidRDefault="00831180" w:rsidP="0083118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3 – полная дата рождения</w:t>
            </w:r>
            <w:r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ДатаСмерт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Дата смерти</w:t>
            </w:r>
            <w:r w:rsidR="00831180">
              <w:t xml:space="preserve"> </w:t>
            </w:r>
            <w:r w:rsidR="00831180" w:rsidRPr="00831180">
              <w:rPr>
                <w:rFonts w:ascii="Segoe UI" w:hAnsi="Segoe UI" w:cs="Segoe UI"/>
                <w:sz w:val="20"/>
              </w:rPr>
              <w:t>в формате ГГГГ-ММ-ДД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МнемонПост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13)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3118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 xml:space="preserve">ОГРН </w:t>
            </w:r>
            <w:r>
              <w:rPr>
                <w:rFonts w:ascii="Segoe UI" w:hAnsi="Segoe UI" w:cs="Segoe UI"/>
                <w:sz w:val="20"/>
              </w:rPr>
              <w:t>кредитной организации</w:t>
            </w:r>
            <w:r w:rsidRPr="00831180">
              <w:rPr>
                <w:rFonts w:ascii="Segoe UI" w:hAnsi="Segoe UI" w:cs="Segoe UI"/>
                <w:sz w:val="20"/>
              </w:rPr>
              <w:t xml:space="preserve">, в которую направляется </w:t>
            </w:r>
            <w:r>
              <w:rPr>
                <w:rFonts w:ascii="Segoe UI" w:hAnsi="Segoe UI" w:cs="Segoe UI"/>
                <w:sz w:val="20"/>
              </w:rPr>
              <w:t>у</w:t>
            </w:r>
            <w:r w:rsidRPr="00831180">
              <w:rPr>
                <w:rFonts w:ascii="Segoe UI" w:hAnsi="Segoe UI" w:cs="Segoe UI"/>
                <w:sz w:val="20"/>
              </w:rPr>
              <w:t>ведомление</w:t>
            </w:r>
            <w:r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НомерЗапис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1-21)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Номер записи акта о смерти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ДатаЗапис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Дата составления записи акта о смерти</w:t>
            </w:r>
            <w:r w:rsidR="00831180">
              <w:t xml:space="preserve"> </w:t>
            </w:r>
            <w:r w:rsidR="00831180" w:rsidRPr="00831180">
              <w:rPr>
                <w:rFonts w:ascii="Segoe UI" w:hAnsi="Segoe UI" w:cs="Segoe UI"/>
                <w:sz w:val="20"/>
              </w:rPr>
              <w:t>в формате ГГГГ-ММ-ДД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А1</w:t>
            </w:r>
            <w:r w:rsidR="00BF6CB0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НаимЗАГС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1-1000)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Полное наименование органа записи актов гражданского состояния (далее – ЗАГС) или многофункционального центра предоставления государственных и муниципальных услуг, которыми произведена государственная регистрация смерти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863740" w:rsidRPr="005978A9" w:rsidTr="004E0CE3">
        <w:tc>
          <w:tcPr>
            <w:tcW w:w="993" w:type="dxa"/>
          </w:tcPr>
          <w:p w:rsidR="00863740" w:rsidRDefault="00863740" w:rsidP="0086374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 А1</w:t>
            </w:r>
            <w:r w:rsidR="00BF6CB0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831180">
              <w:rPr>
                <w:rFonts w:ascii="Segoe UI" w:hAnsi="Segoe UI" w:cs="Segoe UI"/>
                <w:sz w:val="20"/>
              </w:rPr>
              <w:t>КодЗАГС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6374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1180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3740" w:rsidRPr="00831180" w:rsidRDefault="00863740" w:rsidP="00831180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831180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831180">
              <w:rPr>
                <w:rFonts w:ascii="Segoe UI" w:hAnsi="Segoe UI" w:cs="Segoe UI"/>
                <w:sz w:val="20"/>
                <w:szCs w:val="20"/>
              </w:rPr>
              <w:t>=8)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740" w:rsidRPr="00831180" w:rsidRDefault="00863740" w:rsidP="00863740">
            <w:pPr>
              <w:rPr>
                <w:rFonts w:ascii="Segoe UI" w:hAnsi="Segoe UI" w:cs="Segoe UI"/>
                <w:sz w:val="20"/>
              </w:rPr>
            </w:pPr>
            <w:r w:rsidRPr="00831180">
              <w:rPr>
                <w:rFonts w:ascii="Segoe UI" w:hAnsi="Segoe UI" w:cs="Segoe UI"/>
                <w:sz w:val="20"/>
              </w:rPr>
              <w:t>Код органа ЗАГС</w:t>
            </w:r>
            <w:r w:rsidR="00831180">
              <w:rPr>
                <w:rFonts w:ascii="Segoe UI" w:hAnsi="Segoe UI" w:cs="Segoe UI"/>
                <w:sz w:val="20"/>
              </w:rPr>
              <w:t>.</w:t>
            </w:r>
          </w:p>
        </w:tc>
      </w:tr>
      <w:tr w:rsidR="00BF6CB0" w:rsidRPr="009A65B8" w:rsidTr="009A65B8">
        <w:tc>
          <w:tcPr>
            <w:tcW w:w="993" w:type="dxa"/>
          </w:tcPr>
          <w:p w:rsidR="00BF6CB0" w:rsidRDefault="009A65B8" w:rsidP="00BF6C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CB0" w:rsidRPr="009A65B8" w:rsidRDefault="00BF6CB0" w:rsidP="009A65B8">
            <w:pPr>
              <w:ind w:left="17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A65B8">
              <w:rPr>
                <w:rFonts w:ascii="Segoe UI" w:hAnsi="Segoe UI" w:cs="Segoe UI"/>
                <w:sz w:val="20"/>
                <w:szCs w:val="20"/>
              </w:rPr>
              <w:t>СведБанк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CB0" w:rsidRPr="009A65B8" w:rsidRDefault="00BF6CB0" w:rsidP="009A65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CB0" w:rsidRPr="009A65B8" w:rsidRDefault="00BF6CB0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0" w:rsidRPr="009A65B8" w:rsidRDefault="00BF6CB0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Сведения о банке</w:t>
            </w:r>
            <w:r w:rsidR="009A65B8" w:rsidRPr="009A65B8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9A65B8" w:rsidRPr="009A65B8" w:rsidTr="009A65B8">
        <w:tc>
          <w:tcPr>
            <w:tcW w:w="993" w:type="dxa"/>
          </w:tcPr>
          <w:p w:rsidR="009A65B8" w:rsidRDefault="009A65B8" w:rsidP="009A65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 А1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A65B8">
              <w:rPr>
                <w:rFonts w:ascii="Segoe UI" w:hAnsi="Segoe UI" w:cs="Segoe UI"/>
                <w:sz w:val="20"/>
                <w:szCs w:val="20"/>
              </w:rPr>
              <w:t>РегНом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9A65B8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9A65B8">
              <w:rPr>
                <w:rFonts w:ascii="Segoe UI" w:hAnsi="Segoe UI" w:cs="Segoe UI"/>
                <w:sz w:val="20"/>
                <w:szCs w:val="20"/>
              </w:rPr>
              <w:t>1-4)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 xml:space="preserve">Регистрационный номер банка по Книге государственной регистрации кредитных организаций (далее - </w:t>
            </w:r>
            <w:bookmarkStart w:id="15" w:name="_Hlk109889108"/>
            <w:r w:rsidRPr="009A65B8">
              <w:rPr>
                <w:rFonts w:ascii="Segoe UI" w:hAnsi="Segoe UI" w:cs="Segoe UI"/>
                <w:sz w:val="20"/>
                <w:szCs w:val="20"/>
              </w:rPr>
              <w:t>КГРКО</w:t>
            </w:r>
            <w:bookmarkEnd w:id="15"/>
            <w:r w:rsidRPr="009A65B8">
              <w:rPr>
                <w:rFonts w:ascii="Segoe UI" w:hAnsi="Segoe UI" w:cs="Segoe UI"/>
                <w:sz w:val="20"/>
                <w:szCs w:val="20"/>
              </w:rPr>
              <w:t xml:space="preserve">). </w:t>
            </w:r>
          </w:p>
        </w:tc>
      </w:tr>
      <w:tr w:rsidR="009A65B8" w:rsidRPr="009A65B8" w:rsidTr="009A65B8">
        <w:tc>
          <w:tcPr>
            <w:tcW w:w="993" w:type="dxa"/>
          </w:tcPr>
          <w:p w:rsidR="009A65B8" w:rsidRDefault="009A65B8" w:rsidP="009A65B8">
            <w:r w:rsidRPr="00F767B7">
              <w:rPr>
                <w:rFonts w:cs="Segoe UI"/>
                <w:sz w:val="20"/>
                <w:szCs w:val="20"/>
              </w:rPr>
              <w:t>1.1 А</w:t>
            </w:r>
            <w:r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БИК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НК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9A65B8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9A65B8">
              <w:rPr>
                <w:rFonts w:ascii="Segoe UI" w:hAnsi="Segoe UI" w:cs="Segoe UI"/>
                <w:sz w:val="20"/>
                <w:szCs w:val="20"/>
              </w:rPr>
              <w:t>=9) /A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БИК банка, используемый при расчетах</w:t>
            </w:r>
          </w:p>
        </w:tc>
      </w:tr>
      <w:tr w:rsidR="009A65B8" w:rsidRPr="009A65B8" w:rsidTr="009A65B8">
        <w:tc>
          <w:tcPr>
            <w:tcW w:w="993" w:type="dxa"/>
          </w:tcPr>
          <w:p w:rsidR="009A65B8" w:rsidRDefault="009A65B8" w:rsidP="009A65B8">
            <w:r w:rsidRPr="00F767B7">
              <w:rPr>
                <w:rFonts w:cs="Segoe UI"/>
                <w:sz w:val="20"/>
                <w:szCs w:val="20"/>
              </w:rPr>
              <w:t>1.1 А</w:t>
            </w:r>
            <w:r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A65B8">
              <w:rPr>
                <w:rFonts w:ascii="Segoe UI" w:hAnsi="Segoe UI" w:cs="Segoe UI"/>
                <w:sz w:val="20"/>
                <w:szCs w:val="20"/>
              </w:rPr>
              <w:t>НаимБанк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9A65B8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9A65B8">
              <w:rPr>
                <w:rFonts w:ascii="Segoe UI" w:hAnsi="Segoe UI" w:cs="Segoe UI"/>
                <w:sz w:val="20"/>
                <w:szCs w:val="20"/>
              </w:rPr>
              <w:t>1-255)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Сокращенное наименование банка.</w:t>
            </w:r>
          </w:p>
        </w:tc>
      </w:tr>
      <w:tr w:rsidR="009A65B8" w:rsidRPr="009A65B8" w:rsidTr="009A65B8">
        <w:tc>
          <w:tcPr>
            <w:tcW w:w="993" w:type="dxa"/>
          </w:tcPr>
          <w:p w:rsidR="009A65B8" w:rsidRDefault="009A65B8" w:rsidP="009A65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 А4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ИННЮЛ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9A65B8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9A65B8">
              <w:rPr>
                <w:rFonts w:ascii="Segoe UI" w:hAnsi="Segoe UI" w:cs="Segoe UI"/>
                <w:sz w:val="20"/>
                <w:szCs w:val="20"/>
              </w:rPr>
              <w:t>=10)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ИНН банка.</w:t>
            </w:r>
          </w:p>
        </w:tc>
      </w:tr>
      <w:tr w:rsidR="009A65B8" w:rsidRPr="009A65B8" w:rsidTr="009A65B8">
        <w:tc>
          <w:tcPr>
            <w:tcW w:w="993" w:type="dxa"/>
          </w:tcPr>
          <w:p w:rsidR="009A65B8" w:rsidRDefault="009A65B8" w:rsidP="009A65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 А5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9A65B8">
              <w:rPr>
                <w:rFonts w:ascii="Segoe UI" w:hAnsi="Segoe UI" w:cs="Segoe UI"/>
                <w:sz w:val="20"/>
                <w:szCs w:val="20"/>
              </w:rPr>
              <w:t>КППБанк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9A65B8">
              <w:rPr>
                <w:rFonts w:ascii="Segoe UI" w:hAnsi="Segoe UI" w:cs="Segoe UI"/>
                <w:sz w:val="20"/>
                <w:szCs w:val="20"/>
              </w:rPr>
              <w:t>T(</w:t>
            </w:r>
            <w:proofErr w:type="gramEnd"/>
            <w:r w:rsidRPr="009A65B8">
              <w:rPr>
                <w:rFonts w:ascii="Segoe UI" w:hAnsi="Segoe UI" w:cs="Segoe UI"/>
                <w:sz w:val="20"/>
                <w:szCs w:val="20"/>
              </w:rPr>
              <w:t>=9)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5B8" w:rsidRPr="009A65B8" w:rsidRDefault="009A65B8" w:rsidP="009A65B8">
            <w:pPr>
              <w:rPr>
                <w:rFonts w:ascii="Segoe UI" w:hAnsi="Segoe UI" w:cs="Segoe UI"/>
                <w:sz w:val="20"/>
                <w:szCs w:val="20"/>
              </w:rPr>
            </w:pPr>
            <w:r w:rsidRPr="009A65B8">
              <w:rPr>
                <w:rFonts w:ascii="Segoe UI" w:hAnsi="Segoe UI" w:cs="Segoe UI"/>
                <w:sz w:val="20"/>
                <w:szCs w:val="20"/>
              </w:rPr>
              <w:t>КПП банка.</w:t>
            </w:r>
          </w:p>
        </w:tc>
      </w:tr>
      <w:tr w:rsidR="009A65B8" w:rsidRPr="005978A9" w:rsidTr="00A460F0">
        <w:tc>
          <w:tcPr>
            <w:tcW w:w="993" w:type="dxa"/>
          </w:tcPr>
          <w:p w:rsidR="009A65B8" w:rsidRDefault="00CB0B43" w:rsidP="009A65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1.1.1</w:t>
            </w:r>
          </w:p>
        </w:tc>
        <w:tc>
          <w:tcPr>
            <w:tcW w:w="2268" w:type="dxa"/>
          </w:tcPr>
          <w:p w:rsidR="009A65B8" w:rsidRPr="005978A9" w:rsidRDefault="009A65B8" w:rsidP="00CB0B43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proofErr w:type="spellStart"/>
            <w:r w:rsidRPr="009A65B8">
              <w:rPr>
                <w:rFonts w:cs="Segoe UI"/>
                <w:sz w:val="20"/>
                <w:szCs w:val="20"/>
              </w:rPr>
              <w:t>СвОткрСчет</w:t>
            </w:r>
            <w:proofErr w:type="spellEnd"/>
          </w:p>
        </w:tc>
        <w:tc>
          <w:tcPr>
            <w:tcW w:w="1275" w:type="dxa"/>
          </w:tcPr>
          <w:p w:rsidR="009A65B8" w:rsidRPr="00D74033" w:rsidRDefault="009A65B8" w:rsidP="009A65B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ОМ</w:t>
            </w:r>
          </w:p>
        </w:tc>
        <w:tc>
          <w:tcPr>
            <w:tcW w:w="1560" w:type="dxa"/>
          </w:tcPr>
          <w:p w:rsidR="009A65B8" w:rsidRPr="009A65B8" w:rsidRDefault="009A65B8" w:rsidP="009A65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9A65B8" w:rsidRDefault="009A65B8" w:rsidP="009A65B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9A65B8">
              <w:rPr>
                <w:rFonts w:cs="Segoe UI"/>
                <w:sz w:val="20"/>
                <w:szCs w:val="20"/>
              </w:rPr>
              <w:t>Сведения об открытых банковских счетах физического лица</w:t>
            </w:r>
          </w:p>
        </w:tc>
      </w:tr>
      <w:tr w:rsidR="00B11126" w:rsidRPr="005978A9" w:rsidTr="00CB0B43">
        <w:tc>
          <w:tcPr>
            <w:tcW w:w="993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1.1.1 А1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ind w:left="510"/>
              <w:rPr>
                <w:rFonts w:ascii="Segoe UI" w:hAnsi="Segoe UI" w:cs="Segoe UI"/>
                <w:sz w:val="20"/>
              </w:rPr>
            </w:pPr>
            <w:proofErr w:type="spellStart"/>
            <w:r w:rsidRPr="00CB0B43">
              <w:rPr>
                <w:rFonts w:ascii="Segoe UI" w:hAnsi="Segoe UI" w:cs="Segoe UI"/>
                <w:sz w:val="20"/>
              </w:rPr>
              <w:t>НомФил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jc w:val="center"/>
              <w:rPr>
                <w:rFonts w:ascii="Segoe UI" w:hAnsi="Segoe UI" w:cs="Segoe UI"/>
                <w:sz w:val="20"/>
              </w:rPr>
            </w:pPr>
            <w:r w:rsidRPr="00CB0B43">
              <w:rPr>
                <w:rFonts w:ascii="Segoe UI" w:hAnsi="Segoe UI" w:cs="Segoe UI"/>
                <w:sz w:val="20"/>
              </w:rPr>
              <w:t>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</w:rPr>
            </w:pPr>
            <w:proofErr w:type="gramStart"/>
            <w:r w:rsidRPr="00CB0B43">
              <w:rPr>
                <w:rFonts w:ascii="Segoe UI" w:hAnsi="Segoe UI" w:cs="Segoe UI"/>
                <w:sz w:val="20"/>
              </w:rPr>
              <w:t>T(</w:t>
            </w:r>
            <w:proofErr w:type="gramEnd"/>
            <w:r w:rsidRPr="00CB0B43">
              <w:rPr>
                <w:rFonts w:ascii="Segoe UI" w:hAnsi="Segoe UI" w:cs="Segoe UI"/>
                <w:sz w:val="20"/>
              </w:rPr>
              <w:t>1-4)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  <w:szCs w:val="20"/>
              </w:rPr>
            </w:pPr>
            <w:r w:rsidRPr="00CB0B43">
              <w:rPr>
                <w:rFonts w:ascii="Segoe UI" w:hAnsi="Segoe UI" w:cs="Segoe UI"/>
                <w:sz w:val="20"/>
                <w:szCs w:val="20"/>
              </w:rPr>
              <w:t>Порядковый номер филиала банка, в котором содержится счет, по КГРКО</w:t>
            </w:r>
          </w:p>
        </w:tc>
      </w:tr>
      <w:tr w:rsidR="00B11126" w:rsidRPr="005978A9" w:rsidTr="00CB0B43">
        <w:tc>
          <w:tcPr>
            <w:tcW w:w="993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1.1.1 А2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ind w:left="510"/>
              <w:rPr>
                <w:rFonts w:ascii="Segoe UI" w:hAnsi="Segoe UI" w:cs="Segoe UI"/>
                <w:sz w:val="20"/>
              </w:rPr>
            </w:pPr>
            <w:proofErr w:type="spellStart"/>
            <w:r w:rsidRPr="00CB0B43">
              <w:rPr>
                <w:rFonts w:ascii="Segoe UI" w:hAnsi="Segoe UI" w:cs="Segoe UI"/>
                <w:sz w:val="20"/>
              </w:rPr>
              <w:t>НомСчет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jc w:val="center"/>
              <w:rPr>
                <w:rFonts w:ascii="Segoe UI" w:hAnsi="Segoe UI" w:cs="Segoe UI"/>
                <w:sz w:val="20"/>
              </w:rPr>
            </w:pPr>
            <w:r w:rsidRPr="00CB0B43">
              <w:rPr>
                <w:rFonts w:ascii="Segoe UI" w:hAnsi="Segoe UI" w:cs="Segoe UI"/>
                <w:sz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</w:rPr>
            </w:pPr>
            <w:proofErr w:type="gramStart"/>
            <w:r w:rsidRPr="00CB0B43">
              <w:rPr>
                <w:rFonts w:ascii="Segoe UI" w:hAnsi="Segoe UI" w:cs="Segoe UI"/>
                <w:sz w:val="20"/>
              </w:rPr>
              <w:t>T(</w:t>
            </w:r>
            <w:proofErr w:type="gramEnd"/>
            <w:r w:rsidRPr="00CB0B43">
              <w:rPr>
                <w:rFonts w:ascii="Segoe UI" w:hAnsi="Segoe UI" w:cs="Segoe UI"/>
                <w:sz w:val="20"/>
              </w:rPr>
              <w:t>1-20)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  <w:szCs w:val="20"/>
              </w:rPr>
            </w:pPr>
            <w:r w:rsidRPr="00CB0B43">
              <w:rPr>
                <w:rFonts w:ascii="Segoe UI" w:hAnsi="Segoe UI" w:cs="Segoe UI"/>
                <w:sz w:val="20"/>
                <w:szCs w:val="20"/>
              </w:rPr>
              <w:t>Номер счета</w:t>
            </w:r>
          </w:p>
        </w:tc>
      </w:tr>
      <w:tr w:rsidR="00B11126" w:rsidRPr="005978A9" w:rsidTr="00CB0B43">
        <w:tc>
          <w:tcPr>
            <w:tcW w:w="993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1.1.1 А3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ind w:left="510"/>
              <w:rPr>
                <w:rFonts w:ascii="Segoe UI" w:hAnsi="Segoe UI" w:cs="Segoe UI"/>
                <w:sz w:val="20"/>
              </w:rPr>
            </w:pPr>
            <w:proofErr w:type="spellStart"/>
            <w:r w:rsidRPr="00CB0B43">
              <w:rPr>
                <w:rFonts w:ascii="Segoe UI" w:hAnsi="Segoe UI" w:cs="Segoe UI"/>
                <w:sz w:val="20"/>
              </w:rPr>
              <w:t>ДатаОткрСч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jc w:val="center"/>
              <w:rPr>
                <w:rFonts w:ascii="Segoe UI" w:hAnsi="Segoe UI" w:cs="Segoe UI"/>
                <w:sz w:val="20"/>
              </w:rPr>
            </w:pPr>
            <w:r w:rsidRPr="00CB0B43">
              <w:rPr>
                <w:rFonts w:ascii="Segoe UI" w:hAnsi="Segoe UI" w:cs="Segoe UI"/>
                <w:sz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CB0B43" w:rsidP="00CB0B43">
            <w:pPr>
              <w:rPr>
                <w:rFonts w:ascii="Segoe UI" w:hAnsi="Segoe UI" w:cs="Segoe UI"/>
                <w:sz w:val="20"/>
              </w:rPr>
            </w:pPr>
            <w:proofErr w:type="gramStart"/>
            <w:r>
              <w:rPr>
                <w:rFonts w:ascii="Segoe UI" w:hAnsi="Segoe UI" w:cs="Segoe UI"/>
                <w:sz w:val="20"/>
              </w:rPr>
              <w:t>Т(</w:t>
            </w:r>
            <w:proofErr w:type="gramEnd"/>
            <w:r>
              <w:rPr>
                <w:rFonts w:ascii="Segoe UI" w:hAnsi="Segoe UI" w:cs="Segoe UI"/>
                <w:sz w:val="20"/>
              </w:rPr>
              <w:t>=10) /</w:t>
            </w:r>
            <w:r w:rsidR="00B11126" w:rsidRPr="00CB0B43">
              <w:rPr>
                <w:rFonts w:ascii="Segoe UI" w:hAnsi="Segoe UI" w:cs="Segoe UI"/>
                <w:sz w:val="20"/>
              </w:rPr>
              <w:t>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  <w:szCs w:val="20"/>
              </w:rPr>
            </w:pPr>
            <w:r w:rsidRPr="00CB0B43">
              <w:rPr>
                <w:rFonts w:ascii="Segoe UI" w:hAnsi="Segoe UI" w:cs="Segoe UI"/>
                <w:sz w:val="20"/>
                <w:szCs w:val="20"/>
              </w:rPr>
              <w:t>Дата открытия счета</w:t>
            </w:r>
            <w:r w:rsidR="00CB0B43">
              <w:rPr>
                <w:rFonts w:ascii="Segoe UI" w:hAnsi="Segoe UI" w:cs="Segoe UI"/>
                <w:sz w:val="20"/>
                <w:szCs w:val="20"/>
              </w:rPr>
              <w:t xml:space="preserve"> в формате ГГГГ-ММ-ДД</w:t>
            </w:r>
          </w:p>
        </w:tc>
      </w:tr>
      <w:tr w:rsidR="00B11126" w:rsidRPr="005978A9" w:rsidTr="00CB0B43">
        <w:tc>
          <w:tcPr>
            <w:tcW w:w="993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1.1.1 А4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ind w:left="510"/>
              <w:rPr>
                <w:rFonts w:ascii="Segoe UI" w:hAnsi="Segoe UI" w:cs="Segoe UI"/>
                <w:sz w:val="20"/>
              </w:rPr>
            </w:pPr>
            <w:proofErr w:type="spellStart"/>
            <w:r w:rsidRPr="00CB0B43">
              <w:rPr>
                <w:rFonts w:ascii="Segoe UI" w:hAnsi="Segoe UI" w:cs="Segoe UI"/>
                <w:sz w:val="20"/>
              </w:rPr>
              <w:t>ВалСч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jc w:val="center"/>
              <w:rPr>
                <w:rFonts w:ascii="Segoe UI" w:hAnsi="Segoe UI" w:cs="Segoe UI"/>
                <w:sz w:val="20"/>
              </w:rPr>
            </w:pPr>
            <w:r w:rsidRPr="00CB0B43">
              <w:rPr>
                <w:rFonts w:ascii="Segoe UI" w:hAnsi="Segoe UI" w:cs="Segoe UI"/>
                <w:sz w:val="20"/>
              </w:rPr>
              <w:t>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</w:rPr>
            </w:pPr>
            <w:proofErr w:type="gramStart"/>
            <w:r w:rsidRPr="00CB0B43">
              <w:rPr>
                <w:rFonts w:ascii="Segoe UI" w:hAnsi="Segoe UI" w:cs="Segoe UI"/>
                <w:sz w:val="20"/>
              </w:rPr>
              <w:t>T(</w:t>
            </w:r>
            <w:proofErr w:type="gramEnd"/>
            <w:r w:rsidRPr="00CB0B43">
              <w:rPr>
                <w:rFonts w:ascii="Segoe UI" w:hAnsi="Segoe UI" w:cs="Segoe UI"/>
                <w:sz w:val="20"/>
              </w:rPr>
              <w:t>=3)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  <w:szCs w:val="20"/>
              </w:rPr>
            </w:pPr>
            <w:r w:rsidRPr="00CB0B43">
              <w:rPr>
                <w:rFonts w:ascii="Segoe UI" w:hAnsi="Segoe UI" w:cs="Segoe UI"/>
                <w:sz w:val="20"/>
                <w:szCs w:val="20"/>
              </w:rPr>
              <w:t>Код валюты счета</w:t>
            </w:r>
          </w:p>
        </w:tc>
      </w:tr>
      <w:tr w:rsidR="00B11126" w:rsidRPr="005978A9" w:rsidTr="00CB0B43">
        <w:tc>
          <w:tcPr>
            <w:tcW w:w="993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1.1.1 А5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ind w:left="510"/>
              <w:rPr>
                <w:rFonts w:ascii="Segoe UI" w:hAnsi="Segoe UI" w:cs="Segoe UI"/>
                <w:sz w:val="20"/>
              </w:rPr>
            </w:pPr>
            <w:proofErr w:type="spellStart"/>
            <w:r w:rsidRPr="00CB0B43">
              <w:rPr>
                <w:rFonts w:ascii="Segoe UI" w:hAnsi="Segoe UI" w:cs="Segoe UI"/>
                <w:sz w:val="20"/>
              </w:rPr>
              <w:t>КодСчет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jc w:val="center"/>
              <w:rPr>
                <w:rFonts w:ascii="Segoe UI" w:hAnsi="Segoe UI" w:cs="Segoe UI"/>
                <w:sz w:val="20"/>
              </w:rPr>
            </w:pPr>
            <w:r w:rsidRPr="00CB0B43">
              <w:rPr>
                <w:rFonts w:ascii="Segoe UI" w:hAnsi="Segoe UI" w:cs="Segoe UI"/>
                <w:sz w:val="20"/>
              </w:rPr>
              <w:t>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</w:rPr>
            </w:pPr>
            <w:proofErr w:type="gramStart"/>
            <w:r w:rsidRPr="00CB0B43">
              <w:rPr>
                <w:rFonts w:ascii="Segoe UI" w:hAnsi="Segoe UI" w:cs="Segoe UI"/>
                <w:sz w:val="20"/>
              </w:rPr>
              <w:t>T(</w:t>
            </w:r>
            <w:proofErr w:type="gramEnd"/>
            <w:r w:rsidRPr="00CB0B43">
              <w:rPr>
                <w:rFonts w:ascii="Segoe UI" w:hAnsi="Segoe UI" w:cs="Segoe UI"/>
                <w:sz w:val="20"/>
              </w:rPr>
              <w:t>=4)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126" w:rsidRPr="00CB0B43" w:rsidRDefault="00B11126" w:rsidP="00CB0B43">
            <w:pPr>
              <w:rPr>
                <w:rFonts w:ascii="Segoe UI" w:hAnsi="Segoe UI" w:cs="Segoe UI"/>
                <w:sz w:val="20"/>
                <w:szCs w:val="20"/>
              </w:rPr>
            </w:pPr>
            <w:r w:rsidRPr="00CB0B43">
              <w:rPr>
                <w:rFonts w:ascii="Segoe UI" w:hAnsi="Segoe UI" w:cs="Segoe UI"/>
                <w:sz w:val="20"/>
                <w:szCs w:val="20"/>
              </w:rPr>
              <w:t>Код вида счета</w:t>
            </w:r>
          </w:p>
        </w:tc>
      </w:tr>
      <w:tr w:rsidR="00B11126" w:rsidRPr="005978A9" w:rsidTr="00A460F0">
        <w:tc>
          <w:tcPr>
            <w:tcW w:w="993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268" w:type="dxa"/>
          </w:tcPr>
          <w:p w:rsidR="00B11126" w:rsidRPr="005978A9" w:rsidRDefault="00CB0B43" w:rsidP="00CB0B43">
            <w:pPr>
              <w:pStyle w:val="11"/>
              <w:ind w:left="17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ФИО</w:t>
            </w:r>
          </w:p>
        </w:tc>
        <w:tc>
          <w:tcPr>
            <w:tcW w:w="1275" w:type="dxa"/>
          </w:tcPr>
          <w:p w:rsidR="00B11126" w:rsidRPr="00D74033" w:rsidRDefault="00CB0B43" w:rsidP="00B1112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B11126" w:rsidRPr="009A65B8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B11126" w:rsidRDefault="00CB0B43" w:rsidP="00B1112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CB0B43">
              <w:rPr>
                <w:rFonts w:cs="Segoe UI"/>
                <w:sz w:val="20"/>
                <w:szCs w:val="20"/>
              </w:rPr>
              <w:t>Фамилия, имя, отчество физического лица</w:t>
            </w:r>
          </w:p>
        </w:tc>
      </w:tr>
      <w:tr w:rsidR="00CB0B43" w:rsidRPr="005978A9" w:rsidTr="00A460F0">
        <w:tc>
          <w:tcPr>
            <w:tcW w:w="993" w:type="dxa"/>
          </w:tcPr>
          <w:p w:rsidR="00CB0B43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1.2.1</w:t>
            </w:r>
          </w:p>
        </w:tc>
        <w:tc>
          <w:tcPr>
            <w:tcW w:w="2268" w:type="dxa"/>
          </w:tcPr>
          <w:p w:rsidR="00CB0B43" w:rsidRPr="005978A9" w:rsidRDefault="00CB0B43" w:rsidP="00CB0B43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</w:t>
            </w:r>
          </w:p>
        </w:tc>
        <w:tc>
          <w:tcPr>
            <w:tcW w:w="1275" w:type="dxa"/>
          </w:tcPr>
          <w:p w:rsidR="00CB0B43" w:rsidRPr="00D74033" w:rsidRDefault="00CB0B43" w:rsidP="00CB0B4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CB0B43" w:rsidRPr="009A65B8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gramStart"/>
            <w:r w:rsidRPr="00CB0B43">
              <w:rPr>
                <w:rFonts w:cs="Segoe UI"/>
                <w:sz w:val="20"/>
                <w:szCs w:val="20"/>
              </w:rPr>
              <w:t>T(</w:t>
            </w:r>
            <w:proofErr w:type="gramEnd"/>
            <w:r w:rsidRPr="00CB0B43">
              <w:rPr>
                <w:rFonts w:cs="Segoe UI"/>
                <w:sz w:val="20"/>
                <w:szCs w:val="20"/>
              </w:rPr>
              <w:t>1-60)</w:t>
            </w:r>
          </w:p>
        </w:tc>
        <w:tc>
          <w:tcPr>
            <w:tcW w:w="4110" w:type="dxa"/>
          </w:tcPr>
          <w:p w:rsidR="00CB0B43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Принимает значение «1», если фамилия отсутствует.</w:t>
            </w:r>
          </w:p>
        </w:tc>
      </w:tr>
      <w:tr w:rsidR="00CB0B43" w:rsidRPr="005978A9" w:rsidTr="00A460F0">
        <w:tc>
          <w:tcPr>
            <w:tcW w:w="993" w:type="dxa"/>
          </w:tcPr>
          <w:p w:rsidR="00CB0B43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1.2.2</w:t>
            </w:r>
          </w:p>
        </w:tc>
        <w:tc>
          <w:tcPr>
            <w:tcW w:w="2268" w:type="dxa"/>
          </w:tcPr>
          <w:p w:rsidR="00CB0B43" w:rsidRPr="005978A9" w:rsidRDefault="00CB0B43" w:rsidP="00CB0B43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Имя</w:t>
            </w:r>
          </w:p>
        </w:tc>
        <w:tc>
          <w:tcPr>
            <w:tcW w:w="1275" w:type="dxa"/>
          </w:tcPr>
          <w:p w:rsidR="00CB0B43" w:rsidRPr="00D74033" w:rsidRDefault="00CB0B43" w:rsidP="00CB0B4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CB0B43" w:rsidRPr="009A65B8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gramStart"/>
            <w:r w:rsidRPr="00CB0B43">
              <w:rPr>
                <w:rFonts w:cs="Segoe UI"/>
                <w:sz w:val="20"/>
                <w:szCs w:val="20"/>
              </w:rPr>
              <w:t>T(</w:t>
            </w:r>
            <w:proofErr w:type="gramEnd"/>
            <w:r w:rsidRPr="00CB0B43">
              <w:rPr>
                <w:rFonts w:cs="Segoe UI"/>
                <w:sz w:val="20"/>
                <w:szCs w:val="20"/>
              </w:rPr>
              <w:t>1-60)</w:t>
            </w:r>
          </w:p>
        </w:tc>
        <w:tc>
          <w:tcPr>
            <w:tcW w:w="4110" w:type="dxa"/>
          </w:tcPr>
          <w:p w:rsidR="00CB0B43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Принимает значение «1», если имя отсутствует.</w:t>
            </w:r>
          </w:p>
        </w:tc>
      </w:tr>
      <w:tr w:rsidR="00CB0B43" w:rsidRPr="005978A9" w:rsidTr="00A460F0">
        <w:tc>
          <w:tcPr>
            <w:tcW w:w="993" w:type="dxa"/>
          </w:tcPr>
          <w:p w:rsidR="00CB0B43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1.2.3</w:t>
            </w:r>
          </w:p>
        </w:tc>
        <w:tc>
          <w:tcPr>
            <w:tcW w:w="2268" w:type="dxa"/>
          </w:tcPr>
          <w:p w:rsidR="00CB0B43" w:rsidRPr="005978A9" w:rsidRDefault="00CB0B43" w:rsidP="00CB0B43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</w:tcPr>
          <w:p w:rsidR="00CB0B43" w:rsidRPr="00D74033" w:rsidRDefault="00CB0B43" w:rsidP="00CB0B4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</w:tcPr>
          <w:p w:rsidR="00CB0B43" w:rsidRPr="009A65B8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gramStart"/>
            <w:r w:rsidRPr="00CB0B43">
              <w:rPr>
                <w:rFonts w:cs="Segoe UI"/>
                <w:sz w:val="20"/>
                <w:szCs w:val="20"/>
              </w:rPr>
              <w:t>T(</w:t>
            </w:r>
            <w:proofErr w:type="gramEnd"/>
            <w:r w:rsidRPr="00CB0B43">
              <w:rPr>
                <w:rFonts w:cs="Segoe UI"/>
                <w:sz w:val="20"/>
                <w:szCs w:val="20"/>
              </w:rPr>
              <w:t>1-60)</w:t>
            </w:r>
          </w:p>
        </w:tc>
        <w:tc>
          <w:tcPr>
            <w:tcW w:w="4110" w:type="dxa"/>
          </w:tcPr>
          <w:p w:rsidR="00CB0B43" w:rsidRDefault="00CB0B43" w:rsidP="00CB0B4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Принимает значение «1», если отчество отсутствует.</w:t>
            </w:r>
          </w:p>
        </w:tc>
      </w:tr>
      <w:tr w:rsidR="00E0046A" w:rsidRPr="00E0046A" w:rsidTr="00E0046A">
        <w:tc>
          <w:tcPr>
            <w:tcW w:w="993" w:type="dxa"/>
          </w:tcPr>
          <w:p w:rsidR="00E0046A" w:rsidRDefault="00E0046A" w:rsidP="00E0046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ind w:left="170"/>
              <w:rPr>
                <w:rFonts w:ascii="Segoe UI" w:hAnsi="Segoe UI" w:cs="Segoe UI"/>
                <w:sz w:val="20"/>
              </w:rPr>
            </w:pPr>
            <w:proofErr w:type="spellStart"/>
            <w:r w:rsidRPr="00E0046A">
              <w:rPr>
                <w:rFonts w:ascii="Segoe UI" w:hAnsi="Segoe UI" w:cs="Segoe UI"/>
                <w:sz w:val="20"/>
              </w:rPr>
              <w:t>УдЛичнФЛ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0046A">
              <w:rPr>
                <w:rFonts w:ascii="Segoe UI" w:hAnsi="Segoe UI" w:cs="Segoe UI"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  <w:szCs w:val="20"/>
              </w:rPr>
            </w:pPr>
            <w:r w:rsidRPr="00E0046A">
              <w:rPr>
                <w:rFonts w:ascii="Segoe UI" w:hAnsi="Segoe UI" w:cs="Segoe UI"/>
                <w:sz w:val="20"/>
                <w:szCs w:val="20"/>
              </w:rPr>
              <w:t>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</w:rPr>
            </w:pPr>
            <w:r w:rsidRPr="00E0046A">
              <w:rPr>
                <w:rFonts w:ascii="Segoe UI" w:hAnsi="Segoe UI" w:cs="Segoe UI"/>
                <w:sz w:val="20"/>
              </w:rPr>
              <w:t>Сведения о документе, удостоверяющем личность физического лица</w:t>
            </w:r>
          </w:p>
        </w:tc>
      </w:tr>
      <w:tr w:rsidR="00E0046A" w:rsidRPr="00E0046A" w:rsidTr="00E0046A">
        <w:tc>
          <w:tcPr>
            <w:tcW w:w="993" w:type="dxa"/>
          </w:tcPr>
          <w:p w:rsidR="00E0046A" w:rsidRDefault="00E0046A" w:rsidP="00E0046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 А1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0046A">
              <w:rPr>
                <w:rFonts w:ascii="Segoe UI" w:hAnsi="Segoe UI" w:cs="Segoe UI"/>
                <w:sz w:val="20"/>
                <w:szCs w:val="20"/>
              </w:rPr>
              <w:t>КодВидДок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jc w:val="center"/>
              <w:rPr>
                <w:rFonts w:ascii="Segoe UI" w:hAnsi="Segoe UI" w:cs="Segoe UI"/>
                <w:iCs/>
                <w:sz w:val="20"/>
                <w:szCs w:val="20"/>
              </w:rPr>
            </w:pPr>
            <w:r w:rsidRPr="00E0046A">
              <w:rPr>
                <w:rFonts w:ascii="Segoe UI" w:hAnsi="Segoe UI" w:cs="Segoe UI"/>
                <w:iCs/>
                <w:sz w:val="20"/>
                <w:szCs w:val="20"/>
              </w:rPr>
              <w:t>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</w:rPr>
            </w:pPr>
            <w:proofErr w:type="gramStart"/>
            <w:r w:rsidRPr="00E0046A">
              <w:rPr>
                <w:rFonts w:ascii="Segoe UI" w:hAnsi="Segoe UI" w:cs="Segoe UI"/>
                <w:sz w:val="20"/>
              </w:rPr>
              <w:t>T(</w:t>
            </w:r>
            <w:proofErr w:type="gramEnd"/>
            <w:r w:rsidRPr="00E0046A">
              <w:rPr>
                <w:rFonts w:ascii="Segoe UI" w:hAnsi="Segoe UI" w:cs="Segoe UI"/>
                <w:sz w:val="20"/>
              </w:rPr>
              <w:t>=2)</w:t>
            </w:r>
            <w:r w:rsidRPr="00E0046A">
              <w:rPr>
                <w:rFonts w:ascii="Segoe UI" w:hAnsi="Segoe UI" w:cs="Segoe UI"/>
                <w:sz w:val="20"/>
                <w:szCs w:val="20"/>
              </w:rPr>
              <w:t xml:space="preserve">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</w:rPr>
            </w:pPr>
            <w:r w:rsidRPr="00E0046A">
              <w:rPr>
                <w:rFonts w:ascii="Segoe UI" w:hAnsi="Segoe UI" w:cs="Segoe UI"/>
                <w:sz w:val="20"/>
              </w:rPr>
              <w:t>Код вида документа, удостоверяющего личность. Принимает значение в соответствии со справочником «Виды документов, удостоверяющих личность налогоплательщика» (СПДУЛ).</w:t>
            </w:r>
          </w:p>
        </w:tc>
      </w:tr>
      <w:tr w:rsidR="00E0046A" w:rsidRPr="00E0046A" w:rsidTr="00E0046A">
        <w:tc>
          <w:tcPr>
            <w:tcW w:w="993" w:type="dxa"/>
          </w:tcPr>
          <w:p w:rsidR="00E0046A" w:rsidRDefault="00E0046A" w:rsidP="00E0046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 А2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0046A">
              <w:rPr>
                <w:rFonts w:ascii="Segoe UI" w:hAnsi="Segoe UI" w:cs="Segoe UI"/>
                <w:sz w:val="20"/>
                <w:szCs w:val="20"/>
              </w:rPr>
              <w:t>СерНомДок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jc w:val="center"/>
              <w:rPr>
                <w:rFonts w:ascii="Segoe UI" w:hAnsi="Segoe UI" w:cs="Segoe UI"/>
                <w:iCs/>
                <w:sz w:val="20"/>
                <w:szCs w:val="20"/>
              </w:rPr>
            </w:pPr>
            <w:r w:rsidRPr="00E0046A">
              <w:rPr>
                <w:rFonts w:ascii="Segoe UI" w:hAnsi="Segoe UI" w:cs="Segoe UI"/>
                <w:iCs/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</w:rPr>
            </w:pPr>
            <w:proofErr w:type="gramStart"/>
            <w:r w:rsidRPr="00E0046A">
              <w:rPr>
                <w:rFonts w:ascii="Segoe UI" w:hAnsi="Segoe UI" w:cs="Segoe UI"/>
                <w:sz w:val="20"/>
              </w:rPr>
              <w:t>T(</w:t>
            </w:r>
            <w:proofErr w:type="gramEnd"/>
            <w:r w:rsidRPr="00E0046A">
              <w:rPr>
                <w:rFonts w:ascii="Segoe UI" w:hAnsi="Segoe UI" w:cs="Segoe UI"/>
                <w:sz w:val="20"/>
              </w:rPr>
              <w:t>1-25)</w:t>
            </w:r>
            <w:r w:rsidRPr="00E0046A">
              <w:rPr>
                <w:rFonts w:ascii="Segoe UI" w:hAnsi="Segoe UI" w:cs="Segoe UI"/>
                <w:sz w:val="20"/>
                <w:szCs w:val="20"/>
              </w:rPr>
              <w:t xml:space="preserve">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</w:rPr>
            </w:pPr>
            <w:r w:rsidRPr="00E0046A">
              <w:rPr>
                <w:rFonts w:ascii="Segoe UI" w:hAnsi="Segoe UI" w:cs="Segoe UI"/>
                <w:sz w:val="20"/>
              </w:rPr>
              <w:t>Серия и номер документа, удостоверяющего личность</w:t>
            </w:r>
          </w:p>
        </w:tc>
      </w:tr>
      <w:tr w:rsidR="00E0046A" w:rsidRPr="00E0046A" w:rsidTr="00E0046A">
        <w:tc>
          <w:tcPr>
            <w:tcW w:w="993" w:type="dxa"/>
          </w:tcPr>
          <w:p w:rsidR="00E0046A" w:rsidRDefault="00E0046A" w:rsidP="00E0046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 А3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ind w:left="34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E0046A">
              <w:rPr>
                <w:rFonts w:ascii="Segoe UI" w:hAnsi="Segoe UI" w:cs="Segoe UI"/>
                <w:sz w:val="20"/>
                <w:szCs w:val="20"/>
              </w:rPr>
              <w:t>ДатаДок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jc w:val="center"/>
              <w:rPr>
                <w:rFonts w:ascii="Segoe UI" w:hAnsi="Segoe UI" w:cs="Segoe UI"/>
                <w:iCs/>
                <w:sz w:val="20"/>
                <w:szCs w:val="20"/>
              </w:rPr>
            </w:pPr>
            <w:r w:rsidRPr="00E0046A">
              <w:rPr>
                <w:rFonts w:ascii="Segoe UI" w:hAnsi="Segoe UI" w:cs="Segoe UI"/>
                <w:iCs/>
                <w:sz w:val="20"/>
                <w:szCs w:val="20"/>
              </w:rPr>
              <w:t>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</w:rPr>
            </w:pPr>
            <w:proofErr w:type="gramStart"/>
            <w:r w:rsidRPr="00E0046A">
              <w:rPr>
                <w:rFonts w:ascii="Segoe UI" w:hAnsi="Segoe UI" w:cs="Segoe UI"/>
                <w:sz w:val="20"/>
              </w:rPr>
              <w:t>Т(</w:t>
            </w:r>
            <w:proofErr w:type="gramEnd"/>
            <w:r w:rsidRPr="00E0046A">
              <w:rPr>
                <w:rFonts w:ascii="Segoe UI" w:hAnsi="Segoe UI" w:cs="Segoe UI"/>
                <w:sz w:val="20"/>
              </w:rPr>
              <w:t>=10) /А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46A" w:rsidRPr="00E0046A" w:rsidRDefault="00E0046A" w:rsidP="00E0046A">
            <w:pPr>
              <w:rPr>
                <w:rFonts w:ascii="Segoe UI" w:hAnsi="Segoe UI" w:cs="Segoe UI"/>
                <w:sz w:val="20"/>
              </w:rPr>
            </w:pPr>
            <w:r w:rsidRPr="00E0046A">
              <w:rPr>
                <w:rFonts w:ascii="Segoe UI" w:hAnsi="Segoe UI" w:cs="Segoe UI"/>
                <w:sz w:val="20"/>
              </w:rPr>
              <w:t>Дата выдачи документа, удостоверяющего личность</w:t>
            </w:r>
          </w:p>
        </w:tc>
      </w:tr>
    </w:tbl>
    <w:p w:rsidR="009B060B" w:rsidRDefault="009B060B" w:rsidP="00726ED5">
      <w:pPr>
        <w:spacing w:before="80" w:after="40" w:line="250" w:lineRule="auto"/>
        <w:rPr>
          <w:rFonts w:ascii="Segoe UI" w:hAnsi="Segoe UI" w:cs="Segoe UI"/>
        </w:rPr>
      </w:pPr>
    </w:p>
    <w:p w:rsidR="00461FD0" w:rsidRDefault="00C552A6" w:rsidP="003E43B2">
      <w:pPr>
        <w:keepNext/>
        <w:spacing w:before="80" w:after="1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 входящего сообщения</w:t>
      </w:r>
      <w:r w:rsidR="00461FD0">
        <w:rPr>
          <w:rFonts w:ascii="Segoe UI" w:hAnsi="Segoe UI" w:cs="Segoe UI"/>
        </w:rPr>
        <w:t>, котор</w:t>
      </w:r>
      <w:r>
        <w:rPr>
          <w:rFonts w:ascii="Segoe UI" w:hAnsi="Segoe UI" w:cs="Segoe UI"/>
        </w:rPr>
        <w:t>ое</w:t>
      </w:r>
      <w:r w:rsidR="00461FD0">
        <w:rPr>
          <w:rFonts w:ascii="Segoe UI" w:hAnsi="Segoe UI" w:cs="Segoe UI"/>
        </w:rPr>
        <w:t xml:space="preserve"> ИСК передаёт в Адаптер в формате ИСК-конверта</w:t>
      </w:r>
      <w:r w:rsidR="00A460F0">
        <w:rPr>
          <w:rFonts w:ascii="Segoe UI" w:hAnsi="Segoe UI" w:cs="Segoe UI"/>
        </w:rPr>
        <w:t>:</w:t>
      </w:r>
    </w:p>
    <w:p w:rsidR="00231EC3" w:rsidRDefault="00231EC3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bookmarkStart w:id="16" w:name="_Ref70038755"/>
      <w:r w:rsidRPr="00231EC3">
        <w:rPr>
          <w:rFonts w:ascii="Courier New" w:hAnsi="Courier New" w:cs="Courier New"/>
          <w:sz w:val="20"/>
          <w:szCs w:val="20"/>
          <w:lang w:val="en-US"/>
        </w:rPr>
        <w:t>&lt;?xml version="1.0" encoding="UTF-8"?&gt;</w:t>
      </w:r>
    </w:p>
    <w:p w:rsidR="009C473D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</w:t>
      </w:r>
      <w:r w:rsidR="00C552A6" w:rsidRPr="00C552A6">
        <w:rPr>
          <w:rFonts w:ascii="Courier New" w:hAnsi="Courier New" w:cs="Courier New"/>
          <w:sz w:val="20"/>
          <w:szCs w:val="20"/>
          <w:lang w:val="en-US"/>
        </w:rPr>
        <w:t>UVSMERTFL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&lt;ClientMessageID&gt;fa3c5b60-ebbc-11ea-bd9a-525400abcc85&lt;/ClientMessageID&gt;</w:t>
      </w: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Pr="00544A48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B5BD9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  <w:lang w:val="en-US"/>
        </w:rPr>
        <w:t>UVSMERTFLRequest</w:t>
      </w:r>
      <w:proofErr w:type="spellEnd"/>
      <w:r w:rsidR="00231EC3" w:rsidRPr="00231EC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ИдЗапрос</w:t>
      </w:r>
      <w:proofErr w:type="spellEnd"/>
      <w:r w:rsidR="00231EC3" w:rsidRPr="00231EC3">
        <w:rPr>
          <w:rFonts w:ascii="Courier New" w:hAnsi="Courier New" w:cs="Courier New"/>
          <w:sz w:val="20"/>
          <w:szCs w:val="20"/>
          <w:lang w:val="en-US"/>
        </w:rPr>
        <w:t xml:space="preserve">="00000000-0000-0000-0000-000000000001"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05522C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231EC3" w:rsidRPr="0005522C">
        <w:rPr>
          <w:rFonts w:ascii="Courier New" w:hAnsi="Courier New" w:cs="Courier New"/>
          <w:sz w:val="20"/>
          <w:szCs w:val="20"/>
          <w:lang w:val="en-US"/>
        </w:rPr>
        <w:t xml:space="preserve">         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ДатаСнят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>="2022-08-01"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ИННФЛ="100000000000"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ПрДатаРожд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ДатаРожд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="1970-01-01"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ПрДатаСмерт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ДатаСмерт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="2022-08-01"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МнемонПост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="0000000000000"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НомерЗапис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="00000001"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ДатаЗапис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="2022-08-01"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НаимЗАГС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="Наименование ЗАГС"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КодЗАГС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>="00000001"&gt;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>&lt;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СведБанк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РегНом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="0001"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</w:t>
      </w:r>
      <w:r w:rsidR="00231EC3">
        <w:rPr>
          <w:rFonts w:ascii="Courier New" w:hAnsi="Courier New" w:cs="Courier New"/>
          <w:sz w:val="20"/>
          <w:szCs w:val="20"/>
        </w:rPr>
        <w:t xml:space="preserve">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БИК="000000000"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НаимБанк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="Наименование банка"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ИННЮЛ="1000000000"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КППБанк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>="100000000"&gt;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СвОткрСчет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НомФил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="0001"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</w:t>
      </w:r>
      <w:r w:rsidR="00231EC3">
        <w:rPr>
          <w:rFonts w:ascii="Courier New" w:hAnsi="Courier New" w:cs="Courier New"/>
          <w:sz w:val="20"/>
          <w:szCs w:val="20"/>
        </w:rPr>
        <w:t xml:space="preserve">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НомСчет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="00000000000000000001"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ДатаОткрСч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="2022-08-01"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ВалСч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="643" 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КодСчет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>="0001"/&gt;</w:t>
      </w:r>
    </w:p>
    <w:p w:rsidR="009A65B8" w:rsidRPr="00231EC3" w:rsidRDefault="009C473D" w:rsidP="009A65B8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9A65B8">
        <w:rPr>
          <w:rFonts w:ascii="Courier New" w:hAnsi="Courier New" w:cs="Courier New"/>
          <w:sz w:val="20"/>
          <w:szCs w:val="20"/>
        </w:rPr>
        <w:t xml:space="preserve"> 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="009A65B8" w:rsidRPr="00231EC3">
        <w:rPr>
          <w:rFonts w:ascii="Courier New" w:hAnsi="Courier New" w:cs="Courier New"/>
          <w:sz w:val="20"/>
          <w:szCs w:val="20"/>
        </w:rPr>
        <w:t>СвОткрСчет</w:t>
      </w:r>
      <w:proofErr w:type="spellEnd"/>
      <w:r w:rsidR="009A65B8" w:rsidRPr="00231EC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9A65B8" w:rsidRPr="00231EC3">
        <w:rPr>
          <w:rFonts w:ascii="Courier New" w:hAnsi="Courier New" w:cs="Courier New"/>
          <w:sz w:val="20"/>
          <w:szCs w:val="20"/>
        </w:rPr>
        <w:t>НомФил</w:t>
      </w:r>
      <w:proofErr w:type="spellEnd"/>
      <w:r w:rsidR="009A65B8" w:rsidRPr="00231EC3">
        <w:rPr>
          <w:rFonts w:ascii="Courier New" w:hAnsi="Courier New" w:cs="Courier New"/>
          <w:sz w:val="20"/>
          <w:szCs w:val="20"/>
        </w:rPr>
        <w:t xml:space="preserve">="0001" </w:t>
      </w:r>
    </w:p>
    <w:p w:rsidR="009A65B8" w:rsidRPr="00231EC3" w:rsidRDefault="009C473D" w:rsidP="009A65B8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   </w:t>
      </w:r>
      <w:r w:rsidR="009A65B8">
        <w:rPr>
          <w:rFonts w:ascii="Courier New" w:hAnsi="Courier New" w:cs="Courier New"/>
          <w:sz w:val="20"/>
          <w:szCs w:val="20"/>
        </w:rPr>
        <w:t xml:space="preserve">       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="009A65B8" w:rsidRPr="00231EC3">
        <w:rPr>
          <w:rFonts w:ascii="Courier New" w:hAnsi="Courier New" w:cs="Courier New"/>
          <w:sz w:val="20"/>
          <w:szCs w:val="20"/>
        </w:rPr>
        <w:t>НомСчет</w:t>
      </w:r>
      <w:proofErr w:type="spellEnd"/>
      <w:r w:rsidR="009A65B8" w:rsidRPr="00231EC3">
        <w:rPr>
          <w:rFonts w:ascii="Courier New" w:hAnsi="Courier New" w:cs="Courier New"/>
          <w:sz w:val="20"/>
          <w:szCs w:val="20"/>
        </w:rPr>
        <w:t>="0000000000000000000</w:t>
      </w:r>
      <w:r w:rsidR="009A65B8">
        <w:rPr>
          <w:rFonts w:ascii="Courier New" w:hAnsi="Courier New" w:cs="Courier New"/>
          <w:sz w:val="20"/>
          <w:szCs w:val="20"/>
        </w:rPr>
        <w:t>2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" </w:t>
      </w:r>
    </w:p>
    <w:p w:rsidR="009A65B8" w:rsidRPr="00231EC3" w:rsidRDefault="009C473D" w:rsidP="009A65B8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9A65B8">
        <w:rPr>
          <w:rFonts w:ascii="Courier New" w:hAnsi="Courier New" w:cs="Courier New"/>
          <w:sz w:val="20"/>
          <w:szCs w:val="20"/>
        </w:rPr>
        <w:t xml:space="preserve">       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A65B8" w:rsidRPr="00231EC3">
        <w:rPr>
          <w:rFonts w:ascii="Courier New" w:hAnsi="Courier New" w:cs="Courier New"/>
          <w:sz w:val="20"/>
          <w:szCs w:val="20"/>
        </w:rPr>
        <w:t>ДатаОткрСч</w:t>
      </w:r>
      <w:proofErr w:type="spellEnd"/>
      <w:r w:rsidR="009A65B8" w:rsidRPr="00231EC3">
        <w:rPr>
          <w:rFonts w:ascii="Courier New" w:hAnsi="Courier New" w:cs="Courier New"/>
          <w:sz w:val="20"/>
          <w:szCs w:val="20"/>
        </w:rPr>
        <w:t>="2022-08-0</w:t>
      </w:r>
      <w:r w:rsidR="009A65B8">
        <w:rPr>
          <w:rFonts w:ascii="Courier New" w:hAnsi="Courier New" w:cs="Courier New"/>
          <w:sz w:val="20"/>
          <w:szCs w:val="20"/>
        </w:rPr>
        <w:t>2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" </w:t>
      </w:r>
    </w:p>
    <w:p w:rsidR="009A65B8" w:rsidRPr="00231EC3" w:rsidRDefault="009C473D" w:rsidP="009A65B8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9A65B8">
        <w:rPr>
          <w:rFonts w:ascii="Courier New" w:hAnsi="Courier New" w:cs="Courier New"/>
          <w:sz w:val="20"/>
          <w:szCs w:val="20"/>
        </w:rPr>
        <w:t xml:space="preserve">       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A65B8" w:rsidRPr="00231EC3">
        <w:rPr>
          <w:rFonts w:ascii="Courier New" w:hAnsi="Courier New" w:cs="Courier New"/>
          <w:sz w:val="20"/>
          <w:szCs w:val="20"/>
        </w:rPr>
        <w:t>ВалСч</w:t>
      </w:r>
      <w:proofErr w:type="spellEnd"/>
      <w:r w:rsidR="009A65B8" w:rsidRPr="00231EC3">
        <w:rPr>
          <w:rFonts w:ascii="Courier New" w:hAnsi="Courier New" w:cs="Courier New"/>
          <w:sz w:val="20"/>
          <w:szCs w:val="20"/>
        </w:rPr>
        <w:t xml:space="preserve">="643" </w:t>
      </w:r>
    </w:p>
    <w:p w:rsidR="009A65B8" w:rsidRPr="00231EC3" w:rsidRDefault="009C473D" w:rsidP="009A65B8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9A65B8">
        <w:rPr>
          <w:rFonts w:ascii="Courier New" w:hAnsi="Courier New" w:cs="Courier New"/>
          <w:sz w:val="20"/>
          <w:szCs w:val="20"/>
        </w:rPr>
        <w:t xml:space="preserve">       </w:t>
      </w:r>
      <w:r w:rsidR="009A65B8" w:rsidRPr="00231EC3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A65B8" w:rsidRPr="00231EC3">
        <w:rPr>
          <w:rFonts w:ascii="Courier New" w:hAnsi="Courier New" w:cs="Courier New"/>
          <w:sz w:val="20"/>
          <w:szCs w:val="20"/>
        </w:rPr>
        <w:t>КодСчет</w:t>
      </w:r>
      <w:proofErr w:type="spellEnd"/>
      <w:r w:rsidR="009A65B8" w:rsidRPr="00231EC3">
        <w:rPr>
          <w:rFonts w:ascii="Courier New" w:hAnsi="Courier New" w:cs="Courier New"/>
          <w:sz w:val="20"/>
          <w:szCs w:val="20"/>
        </w:rPr>
        <w:t>="0001"/&gt;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>&lt;/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СведБанк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>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>&lt;ФИО&gt;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&lt;Фамилия&gt;Тестовый&lt;/Фамилия&gt;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&lt;Имя&gt;Тест&lt;/Имя&gt;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C473D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&lt;Отчество&gt;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Тестович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>&lt;/Отчество&gt;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05522C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>&lt;/ФИО&gt;</w:t>
      </w:r>
    </w:p>
    <w:p w:rsidR="00231EC3" w:rsidRPr="00231EC3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05522C">
        <w:rPr>
          <w:rFonts w:ascii="Courier New" w:hAnsi="Courier New" w:cs="Courier New"/>
          <w:sz w:val="20"/>
          <w:szCs w:val="20"/>
        </w:rPr>
        <w:t xml:space="preserve">     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>&lt;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УдЛичнФЛ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КодВидДок</w:t>
      </w:r>
      <w:proofErr w:type="spellEnd"/>
      <w:r w:rsidR="00231EC3" w:rsidRPr="00231EC3">
        <w:rPr>
          <w:rFonts w:ascii="Courier New" w:hAnsi="Courier New" w:cs="Courier New"/>
          <w:sz w:val="20"/>
          <w:szCs w:val="20"/>
        </w:rPr>
        <w:t xml:space="preserve">="00" </w:t>
      </w:r>
    </w:p>
    <w:p w:rsidR="00231EC3" w:rsidRPr="0005522C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05522C">
        <w:rPr>
          <w:rFonts w:ascii="Courier New" w:hAnsi="Courier New" w:cs="Courier New"/>
          <w:sz w:val="20"/>
          <w:szCs w:val="20"/>
        </w:rPr>
        <w:t xml:space="preserve">     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</w:t>
      </w:r>
      <w:r w:rsidR="00231EC3">
        <w:rPr>
          <w:rFonts w:ascii="Courier New" w:hAnsi="Courier New" w:cs="Courier New"/>
          <w:sz w:val="20"/>
          <w:szCs w:val="20"/>
        </w:rPr>
        <w:t xml:space="preserve"> </w:t>
      </w:r>
      <w:r w:rsidR="00231EC3" w:rsidRPr="00231EC3">
        <w:rPr>
          <w:rFonts w:ascii="Courier New" w:hAnsi="Courier New" w:cs="Courier New"/>
          <w:sz w:val="20"/>
          <w:szCs w:val="20"/>
        </w:rPr>
        <w:t xml:space="preserve">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СерНомДок</w:t>
      </w:r>
      <w:proofErr w:type="spellEnd"/>
      <w:r w:rsidR="00231EC3" w:rsidRPr="0005522C">
        <w:rPr>
          <w:rFonts w:ascii="Courier New" w:hAnsi="Courier New" w:cs="Courier New"/>
          <w:sz w:val="20"/>
          <w:szCs w:val="20"/>
          <w:lang w:val="en-US"/>
        </w:rPr>
        <w:t xml:space="preserve">="0000 000000" </w:t>
      </w:r>
    </w:p>
    <w:p w:rsidR="00231EC3" w:rsidRPr="0005522C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B5BD9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231EC3" w:rsidRPr="0005522C"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proofErr w:type="spellStart"/>
      <w:r w:rsidR="00231EC3" w:rsidRPr="00231EC3">
        <w:rPr>
          <w:rFonts w:ascii="Courier New" w:hAnsi="Courier New" w:cs="Courier New"/>
          <w:sz w:val="20"/>
          <w:szCs w:val="20"/>
        </w:rPr>
        <w:t>ДатаДок</w:t>
      </w:r>
      <w:proofErr w:type="spellEnd"/>
      <w:r w:rsidR="00231EC3" w:rsidRPr="0005522C">
        <w:rPr>
          <w:rFonts w:ascii="Courier New" w:hAnsi="Courier New" w:cs="Courier New"/>
          <w:sz w:val="20"/>
          <w:szCs w:val="20"/>
          <w:lang w:val="en-US"/>
        </w:rPr>
        <w:t>="2015-01-01"/&gt;</w:t>
      </w:r>
    </w:p>
    <w:p w:rsidR="00930942" w:rsidRPr="0005522C" w:rsidRDefault="009C473D" w:rsidP="00231EC3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B5BD9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231EC3" w:rsidRPr="0005522C">
        <w:rPr>
          <w:rFonts w:ascii="Courier New" w:hAnsi="Courier New" w:cs="Courier New"/>
          <w:sz w:val="20"/>
          <w:szCs w:val="20"/>
          <w:lang w:val="en-US"/>
        </w:rPr>
        <w:t>&lt;/UVSMERTFLRequest&gt;</w:t>
      </w:r>
    </w:p>
    <w:p w:rsidR="009C473D" w:rsidRPr="0005522C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05522C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05522C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Pr="0005522C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05522C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05522C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C473D" w:rsidRPr="00AD3206" w:rsidRDefault="009C473D" w:rsidP="009C473D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AD3206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AD3206">
        <w:rPr>
          <w:rFonts w:ascii="Courier New" w:hAnsi="Courier New" w:cs="Courier New"/>
          <w:sz w:val="20"/>
          <w:szCs w:val="20"/>
        </w:rPr>
        <w:t>&gt;</w:t>
      </w:r>
      <w:bookmarkEnd w:id="16"/>
    </w:p>
    <w:sectPr w:rsidR="009C473D" w:rsidRPr="00AD3206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276" w:rsidRDefault="00AE4276" w:rsidP="00DE090A">
      <w:pPr>
        <w:spacing w:after="0" w:line="240" w:lineRule="auto"/>
      </w:pPr>
      <w:r>
        <w:separator/>
      </w:r>
    </w:p>
  </w:endnote>
  <w:endnote w:type="continuationSeparator" w:id="0">
    <w:p w:rsidR="00AE4276" w:rsidRDefault="00AE4276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766075" w:rsidTr="00EA50FD">
      <w:tc>
        <w:tcPr>
          <w:tcW w:w="9493" w:type="dxa"/>
        </w:tcPr>
        <w:p w:rsidR="00766075" w:rsidRPr="00EA50FD" w:rsidRDefault="00766075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766075" w:rsidRDefault="00766075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766075" w:rsidRDefault="00766075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276" w:rsidRDefault="00AE4276" w:rsidP="00DE090A">
      <w:pPr>
        <w:spacing w:after="0" w:line="240" w:lineRule="auto"/>
      </w:pPr>
      <w:r>
        <w:separator/>
      </w:r>
    </w:p>
  </w:footnote>
  <w:footnote w:type="continuationSeparator" w:id="0">
    <w:p w:rsidR="00AE4276" w:rsidRDefault="00AE4276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976"/>
    <w:multiLevelType w:val="hybridMultilevel"/>
    <w:tmpl w:val="B92C4BAA"/>
    <w:lvl w:ilvl="0" w:tplc="041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2C4EF8"/>
    <w:multiLevelType w:val="hybridMultilevel"/>
    <w:tmpl w:val="3C6EB2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08FE"/>
    <w:multiLevelType w:val="hybridMultilevel"/>
    <w:tmpl w:val="3C60999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4DC5"/>
    <w:multiLevelType w:val="hybridMultilevel"/>
    <w:tmpl w:val="61FEE4C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5748"/>
    <w:rsid w:val="00021B6C"/>
    <w:rsid w:val="00021C07"/>
    <w:rsid w:val="00022DA1"/>
    <w:rsid w:val="00026987"/>
    <w:rsid w:val="00035787"/>
    <w:rsid w:val="00043186"/>
    <w:rsid w:val="000436CA"/>
    <w:rsid w:val="00047CD8"/>
    <w:rsid w:val="00047D7F"/>
    <w:rsid w:val="0005522C"/>
    <w:rsid w:val="00056442"/>
    <w:rsid w:val="00066C49"/>
    <w:rsid w:val="000716E9"/>
    <w:rsid w:val="000806F1"/>
    <w:rsid w:val="00095B4F"/>
    <w:rsid w:val="000A52A1"/>
    <w:rsid w:val="000A54C5"/>
    <w:rsid w:val="000B60CB"/>
    <w:rsid w:val="000C11BD"/>
    <w:rsid w:val="000C17A3"/>
    <w:rsid w:val="000C3B52"/>
    <w:rsid w:val="000D28AB"/>
    <w:rsid w:val="000F32E4"/>
    <w:rsid w:val="001108E5"/>
    <w:rsid w:val="00111F2C"/>
    <w:rsid w:val="00127E6C"/>
    <w:rsid w:val="00130CA2"/>
    <w:rsid w:val="00130FFE"/>
    <w:rsid w:val="00155954"/>
    <w:rsid w:val="00160360"/>
    <w:rsid w:val="001675B6"/>
    <w:rsid w:val="00186FE3"/>
    <w:rsid w:val="00187179"/>
    <w:rsid w:val="001A3EA9"/>
    <w:rsid w:val="001D206F"/>
    <w:rsid w:val="001E064F"/>
    <w:rsid w:val="001E24D0"/>
    <w:rsid w:val="002009E5"/>
    <w:rsid w:val="002015DB"/>
    <w:rsid w:val="00210AD0"/>
    <w:rsid w:val="00210FA7"/>
    <w:rsid w:val="002163FF"/>
    <w:rsid w:val="0023089E"/>
    <w:rsid w:val="00230F8E"/>
    <w:rsid w:val="00231EC3"/>
    <w:rsid w:val="002354A0"/>
    <w:rsid w:val="0023717C"/>
    <w:rsid w:val="002502E8"/>
    <w:rsid w:val="00267C3F"/>
    <w:rsid w:val="00275FF9"/>
    <w:rsid w:val="00283295"/>
    <w:rsid w:val="00285940"/>
    <w:rsid w:val="0029650C"/>
    <w:rsid w:val="002A482F"/>
    <w:rsid w:val="002A5AE0"/>
    <w:rsid w:val="002A64B7"/>
    <w:rsid w:val="002B35F5"/>
    <w:rsid w:val="002C4D00"/>
    <w:rsid w:val="002D62AB"/>
    <w:rsid w:val="002E1A35"/>
    <w:rsid w:val="002F319B"/>
    <w:rsid w:val="00311588"/>
    <w:rsid w:val="003122B5"/>
    <w:rsid w:val="00317DCA"/>
    <w:rsid w:val="0032610E"/>
    <w:rsid w:val="00332E8C"/>
    <w:rsid w:val="00345CCF"/>
    <w:rsid w:val="003559CC"/>
    <w:rsid w:val="003650D2"/>
    <w:rsid w:val="00365997"/>
    <w:rsid w:val="00393A4B"/>
    <w:rsid w:val="00394DDD"/>
    <w:rsid w:val="003A297F"/>
    <w:rsid w:val="003A7488"/>
    <w:rsid w:val="003B269D"/>
    <w:rsid w:val="003C5CFE"/>
    <w:rsid w:val="003E43B2"/>
    <w:rsid w:val="003E5CBB"/>
    <w:rsid w:val="003E79F2"/>
    <w:rsid w:val="0040619C"/>
    <w:rsid w:val="00420528"/>
    <w:rsid w:val="00422995"/>
    <w:rsid w:val="004271A1"/>
    <w:rsid w:val="00432B3A"/>
    <w:rsid w:val="0045067B"/>
    <w:rsid w:val="0045162C"/>
    <w:rsid w:val="00461FD0"/>
    <w:rsid w:val="004655B0"/>
    <w:rsid w:val="00465641"/>
    <w:rsid w:val="00466152"/>
    <w:rsid w:val="0047005F"/>
    <w:rsid w:val="004727A6"/>
    <w:rsid w:val="00487A4E"/>
    <w:rsid w:val="004A6D10"/>
    <w:rsid w:val="004B2EA4"/>
    <w:rsid w:val="004B715B"/>
    <w:rsid w:val="004D1475"/>
    <w:rsid w:val="004D1E0E"/>
    <w:rsid w:val="004E181B"/>
    <w:rsid w:val="00544A48"/>
    <w:rsid w:val="00576084"/>
    <w:rsid w:val="00586157"/>
    <w:rsid w:val="00590DFD"/>
    <w:rsid w:val="00594492"/>
    <w:rsid w:val="005978A9"/>
    <w:rsid w:val="005A0374"/>
    <w:rsid w:val="005A52D4"/>
    <w:rsid w:val="005B5102"/>
    <w:rsid w:val="005D274A"/>
    <w:rsid w:val="005F02A6"/>
    <w:rsid w:val="005F35D8"/>
    <w:rsid w:val="005F4D6D"/>
    <w:rsid w:val="00643531"/>
    <w:rsid w:val="00646F10"/>
    <w:rsid w:val="00657D11"/>
    <w:rsid w:val="00685D80"/>
    <w:rsid w:val="006A3BDC"/>
    <w:rsid w:val="006B6105"/>
    <w:rsid w:val="006D3EBC"/>
    <w:rsid w:val="006F691A"/>
    <w:rsid w:val="00725CD0"/>
    <w:rsid w:val="00726ED5"/>
    <w:rsid w:val="00736F79"/>
    <w:rsid w:val="00753A77"/>
    <w:rsid w:val="00766075"/>
    <w:rsid w:val="007712A1"/>
    <w:rsid w:val="00776050"/>
    <w:rsid w:val="00792413"/>
    <w:rsid w:val="00796F9B"/>
    <w:rsid w:val="007B33AE"/>
    <w:rsid w:val="007B5F47"/>
    <w:rsid w:val="007C4AC0"/>
    <w:rsid w:val="007F0B97"/>
    <w:rsid w:val="00831180"/>
    <w:rsid w:val="00831824"/>
    <w:rsid w:val="0083593F"/>
    <w:rsid w:val="008362A7"/>
    <w:rsid w:val="00841A00"/>
    <w:rsid w:val="0084459F"/>
    <w:rsid w:val="00853C34"/>
    <w:rsid w:val="00856D6A"/>
    <w:rsid w:val="00857953"/>
    <w:rsid w:val="00863740"/>
    <w:rsid w:val="008866E0"/>
    <w:rsid w:val="0089331D"/>
    <w:rsid w:val="008C0CCF"/>
    <w:rsid w:val="008C1F12"/>
    <w:rsid w:val="008C320C"/>
    <w:rsid w:val="008D1A1D"/>
    <w:rsid w:val="008D57A7"/>
    <w:rsid w:val="008F16C6"/>
    <w:rsid w:val="009019BF"/>
    <w:rsid w:val="00902225"/>
    <w:rsid w:val="0091254E"/>
    <w:rsid w:val="00917272"/>
    <w:rsid w:val="0092055D"/>
    <w:rsid w:val="0092718B"/>
    <w:rsid w:val="00930942"/>
    <w:rsid w:val="00933484"/>
    <w:rsid w:val="009342C8"/>
    <w:rsid w:val="0095028F"/>
    <w:rsid w:val="00953118"/>
    <w:rsid w:val="009574A8"/>
    <w:rsid w:val="009634D9"/>
    <w:rsid w:val="009948E2"/>
    <w:rsid w:val="00997ADA"/>
    <w:rsid w:val="009A2E72"/>
    <w:rsid w:val="009A65B8"/>
    <w:rsid w:val="009B060B"/>
    <w:rsid w:val="009C473D"/>
    <w:rsid w:val="009C741B"/>
    <w:rsid w:val="009D2B40"/>
    <w:rsid w:val="00A027F8"/>
    <w:rsid w:val="00A0292F"/>
    <w:rsid w:val="00A13540"/>
    <w:rsid w:val="00A16637"/>
    <w:rsid w:val="00A21963"/>
    <w:rsid w:val="00A2243E"/>
    <w:rsid w:val="00A411DD"/>
    <w:rsid w:val="00A460F0"/>
    <w:rsid w:val="00A57070"/>
    <w:rsid w:val="00A63037"/>
    <w:rsid w:val="00A66335"/>
    <w:rsid w:val="00A74932"/>
    <w:rsid w:val="00A8206E"/>
    <w:rsid w:val="00AB15DB"/>
    <w:rsid w:val="00AC0E53"/>
    <w:rsid w:val="00AD3206"/>
    <w:rsid w:val="00AD7543"/>
    <w:rsid w:val="00AE1787"/>
    <w:rsid w:val="00AE4276"/>
    <w:rsid w:val="00B11126"/>
    <w:rsid w:val="00B201FC"/>
    <w:rsid w:val="00B309D6"/>
    <w:rsid w:val="00B43725"/>
    <w:rsid w:val="00B46D61"/>
    <w:rsid w:val="00B601FD"/>
    <w:rsid w:val="00B641FD"/>
    <w:rsid w:val="00B729F1"/>
    <w:rsid w:val="00BA0EBD"/>
    <w:rsid w:val="00BA1C96"/>
    <w:rsid w:val="00BA469E"/>
    <w:rsid w:val="00BB5BD9"/>
    <w:rsid w:val="00BB76E2"/>
    <w:rsid w:val="00BD190A"/>
    <w:rsid w:val="00BE2B5E"/>
    <w:rsid w:val="00BE5AA2"/>
    <w:rsid w:val="00BF5521"/>
    <w:rsid w:val="00BF6CB0"/>
    <w:rsid w:val="00C15217"/>
    <w:rsid w:val="00C319E7"/>
    <w:rsid w:val="00C44E40"/>
    <w:rsid w:val="00C552A6"/>
    <w:rsid w:val="00C70EBE"/>
    <w:rsid w:val="00C7354E"/>
    <w:rsid w:val="00C741E0"/>
    <w:rsid w:val="00C92605"/>
    <w:rsid w:val="00CA1A27"/>
    <w:rsid w:val="00CB0B43"/>
    <w:rsid w:val="00CB0F52"/>
    <w:rsid w:val="00CC353B"/>
    <w:rsid w:val="00CD14D4"/>
    <w:rsid w:val="00CD45C8"/>
    <w:rsid w:val="00CD675E"/>
    <w:rsid w:val="00CE22D4"/>
    <w:rsid w:val="00CE7888"/>
    <w:rsid w:val="00D00F55"/>
    <w:rsid w:val="00D067DD"/>
    <w:rsid w:val="00D1422F"/>
    <w:rsid w:val="00D22F68"/>
    <w:rsid w:val="00D24C56"/>
    <w:rsid w:val="00D25F4E"/>
    <w:rsid w:val="00D40AD7"/>
    <w:rsid w:val="00D4486F"/>
    <w:rsid w:val="00D60756"/>
    <w:rsid w:val="00D664CD"/>
    <w:rsid w:val="00D7083A"/>
    <w:rsid w:val="00D74033"/>
    <w:rsid w:val="00D76C66"/>
    <w:rsid w:val="00D81CB6"/>
    <w:rsid w:val="00D931A5"/>
    <w:rsid w:val="00DB0717"/>
    <w:rsid w:val="00DC32F7"/>
    <w:rsid w:val="00DD2D14"/>
    <w:rsid w:val="00DD3658"/>
    <w:rsid w:val="00DD387C"/>
    <w:rsid w:val="00DD4D41"/>
    <w:rsid w:val="00DE090A"/>
    <w:rsid w:val="00DE3E05"/>
    <w:rsid w:val="00DE3FE9"/>
    <w:rsid w:val="00DE5993"/>
    <w:rsid w:val="00DF1EAB"/>
    <w:rsid w:val="00E0046A"/>
    <w:rsid w:val="00E04253"/>
    <w:rsid w:val="00E10678"/>
    <w:rsid w:val="00E31927"/>
    <w:rsid w:val="00E509A0"/>
    <w:rsid w:val="00E60876"/>
    <w:rsid w:val="00E60EBF"/>
    <w:rsid w:val="00E85957"/>
    <w:rsid w:val="00E9692F"/>
    <w:rsid w:val="00EA12C0"/>
    <w:rsid w:val="00EA285B"/>
    <w:rsid w:val="00EA50FD"/>
    <w:rsid w:val="00EA6268"/>
    <w:rsid w:val="00EE1E8A"/>
    <w:rsid w:val="00EF02BA"/>
    <w:rsid w:val="00F04FD0"/>
    <w:rsid w:val="00F0669A"/>
    <w:rsid w:val="00F13369"/>
    <w:rsid w:val="00F14341"/>
    <w:rsid w:val="00F2506A"/>
    <w:rsid w:val="00F27893"/>
    <w:rsid w:val="00F3644F"/>
    <w:rsid w:val="00F368FC"/>
    <w:rsid w:val="00F4026D"/>
    <w:rsid w:val="00F44327"/>
    <w:rsid w:val="00F50C9D"/>
    <w:rsid w:val="00F52EF0"/>
    <w:rsid w:val="00F563FB"/>
    <w:rsid w:val="00F619C4"/>
    <w:rsid w:val="00F8080D"/>
    <w:rsid w:val="00FA1669"/>
    <w:rsid w:val="00FA60F9"/>
    <w:rsid w:val="00FB5C14"/>
    <w:rsid w:val="00FC0287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7ACCF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BB5BD9"/>
    <w:pPr>
      <w:spacing w:before="80" w:after="40" w:line="247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B76E-B297-44FE-B67C-251D5E66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71</cp:revision>
  <dcterms:created xsi:type="dcterms:W3CDTF">2022-03-27T13:23:00Z</dcterms:created>
  <dcterms:modified xsi:type="dcterms:W3CDTF">2023-06-23T12:41:00Z</dcterms:modified>
</cp:coreProperties>
</file>